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92" w:rsidRDefault="007E4192" w:rsidP="007E4192">
      <w:pPr>
        <w:jc w:val="center"/>
        <w:rPr>
          <w:rFonts w:ascii="Times New Roman" w:hAnsi="Times New Roman" w:cs="Times New Roman"/>
          <w:b/>
          <w:color w:val="A8D08D" w:themeColor="accent6" w:themeTint="99"/>
          <w:sz w:val="40"/>
          <w:szCs w:val="40"/>
        </w:rPr>
      </w:pPr>
      <w:bookmarkStart w:id="0" w:name="_GoBack"/>
      <w:bookmarkEnd w:id="0"/>
    </w:p>
    <w:p w:rsidR="007E4192" w:rsidRDefault="00E159D4" w:rsidP="007E4192">
      <w:pPr>
        <w:jc w:val="center"/>
        <w:rPr>
          <w:rFonts w:ascii="Times New Roman" w:hAnsi="Times New Roman" w:cs="Times New Roman"/>
          <w:b/>
          <w:color w:val="A8D08D" w:themeColor="accent6" w:themeTint="99"/>
          <w:sz w:val="40"/>
          <w:szCs w:val="40"/>
        </w:rPr>
      </w:pPr>
      <w:r>
        <w:rPr>
          <w:noProof/>
          <w:lang w:eastAsia="el-GR"/>
        </w:rPr>
        <w:drawing>
          <wp:anchor distT="0" distB="0" distL="114300" distR="114300" simplePos="0" relativeHeight="251659264" behindDoc="1" locked="0" layoutInCell="1" allowOverlap="1">
            <wp:simplePos x="0" y="0"/>
            <wp:positionH relativeFrom="margin">
              <wp:align>center</wp:align>
            </wp:positionH>
            <wp:positionV relativeFrom="paragraph">
              <wp:posOffset>176530</wp:posOffset>
            </wp:positionV>
            <wp:extent cx="3079115" cy="1609725"/>
            <wp:effectExtent l="0" t="0" r="6985" b="9525"/>
            <wp:wrapTight wrapText="bothSides">
              <wp:wrapPolygon edited="0">
                <wp:start x="0" y="0"/>
                <wp:lineTo x="0" y="21472"/>
                <wp:lineTo x="21515" y="21472"/>
                <wp:lineTo x="21515" y="0"/>
                <wp:lineTo x="0" y="0"/>
              </wp:wrapPolygon>
            </wp:wrapTight>
            <wp:docPr id="1" name="Picture 1" descr="ΕΛ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ΛΠ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9115" cy="1609725"/>
                    </a:xfrm>
                    <a:prstGeom prst="rect">
                      <a:avLst/>
                    </a:prstGeom>
                    <a:noFill/>
                    <a:ln>
                      <a:noFill/>
                    </a:ln>
                  </pic:spPr>
                </pic:pic>
              </a:graphicData>
            </a:graphic>
          </wp:anchor>
        </w:drawing>
      </w:r>
    </w:p>
    <w:p w:rsidR="007E4192" w:rsidRDefault="007E4192" w:rsidP="007E4192">
      <w:pPr>
        <w:jc w:val="center"/>
        <w:rPr>
          <w:rFonts w:ascii="Times New Roman" w:hAnsi="Times New Roman" w:cs="Times New Roman"/>
          <w:b/>
          <w:color w:val="A8D08D" w:themeColor="accent6" w:themeTint="99"/>
          <w:sz w:val="40"/>
          <w:szCs w:val="40"/>
        </w:rPr>
      </w:pPr>
    </w:p>
    <w:p w:rsidR="0047285C" w:rsidRDefault="0047285C" w:rsidP="0047285C">
      <w:pPr>
        <w:jc w:val="center"/>
        <w:rPr>
          <w:rFonts w:ascii="Times New Roman" w:hAnsi="Times New Roman" w:cs="Times New Roman"/>
          <w:b/>
          <w:color w:val="A8D08D" w:themeColor="accent6" w:themeTint="99"/>
          <w:sz w:val="40"/>
          <w:szCs w:val="40"/>
        </w:rPr>
      </w:pPr>
    </w:p>
    <w:p w:rsidR="0047285C" w:rsidRDefault="0047285C" w:rsidP="0047285C">
      <w:pPr>
        <w:jc w:val="center"/>
        <w:rPr>
          <w:rFonts w:ascii="Times New Roman" w:hAnsi="Times New Roman" w:cs="Times New Roman"/>
          <w:b/>
          <w:color w:val="A8D08D" w:themeColor="accent6" w:themeTint="99"/>
          <w:sz w:val="40"/>
          <w:szCs w:val="40"/>
        </w:rPr>
      </w:pPr>
    </w:p>
    <w:p w:rsidR="0047285C" w:rsidRDefault="0047285C" w:rsidP="0047285C">
      <w:pPr>
        <w:jc w:val="center"/>
        <w:rPr>
          <w:rFonts w:ascii="Times New Roman" w:hAnsi="Times New Roman" w:cs="Times New Roman"/>
          <w:b/>
          <w:color w:val="A8D08D" w:themeColor="accent6" w:themeTint="99"/>
          <w:sz w:val="40"/>
          <w:szCs w:val="40"/>
        </w:rPr>
      </w:pPr>
    </w:p>
    <w:p w:rsidR="0047285C" w:rsidRDefault="0047285C" w:rsidP="0047285C">
      <w:pPr>
        <w:jc w:val="center"/>
        <w:rPr>
          <w:rFonts w:ascii="Times New Roman" w:hAnsi="Times New Roman" w:cs="Times New Roman"/>
          <w:b/>
          <w:color w:val="A8D08D" w:themeColor="accent6" w:themeTint="99"/>
          <w:sz w:val="40"/>
          <w:szCs w:val="40"/>
        </w:rPr>
      </w:pPr>
    </w:p>
    <w:p w:rsidR="0047285C" w:rsidRDefault="0047285C" w:rsidP="00367E8E">
      <w:pPr>
        <w:rPr>
          <w:rFonts w:ascii="Times New Roman" w:hAnsi="Times New Roman" w:cs="Times New Roman"/>
          <w:b/>
          <w:color w:val="A8D08D" w:themeColor="accent6" w:themeTint="99"/>
          <w:sz w:val="40"/>
          <w:szCs w:val="40"/>
        </w:rPr>
      </w:pPr>
    </w:p>
    <w:p w:rsidR="0047285C" w:rsidRDefault="0047285C" w:rsidP="0047285C">
      <w:pPr>
        <w:jc w:val="center"/>
        <w:rPr>
          <w:rFonts w:ascii="Times New Roman" w:hAnsi="Times New Roman" w:cs="Times New Roman"/>
          <w:b/>
          <w:color w:val="A8D08D" w:themeColor="accent6" w:themeTint="99"/>
          <w:sz w:val="40"/>
          <w:szCs w:val="40"/>
        </w:rPr>
      </w:pPr>
    </w:p>
    <w:p w:rsidR="0047285C" w:rsidRPr="0047285C" w:rsidRDefault="0047285C" w:rsidP="0047285C">
      <w:pPr>
        <w:jc w:val="center"/>
        <w:rPr>
          <w:rFonts w:cs="Times New Roman"/>
          <w:b/>
          <w:sz w:val="30"/>
          <w:szCs w:val="30"/>
        </w:rPr>
      </w:pPr>
      <w:r w:rsidRPr="0047285C">
        <w:rPr>
          <w:rFonts w:cs="Times New Roman"/>
          <w:b/>
          <w:sz w:val="30"/>
          <w:szCs w:val="30"/>
        </w:rPr>
        <w:t>Ομιλία Ευστάθιου Ν. Τσοτσορού, Εκτελεστικού Προέδρου ΔΣ, Ελληνικά Πετρέλαια ΑΕ</w:t>
      </w:r>
    </w:p>
    <w:p w:rsidR="0047285C" w:rsidRPr="0047285C" w:rsidRDefault="0047285C" w:rsidP="0047285C">
      <w:pPr>
        <w:jc w:val="center"/>
        <w:rPr>
          <w:rFonts w:cs="Times New Roman"/>
          <w:b/>
          <w:sz w:val="30"/>
          <w:szCs w:val="30"/>
        </w:rPr>
      </w:pPr>
    </w:p>
    <w:p w:rsidR="0047285C" w:rsidRPr="0047285C" w:rsidRDefault="0047285C" w:rsidP="0047285C">
      <w:pPr>
        <w:jc w:val="center"/>
        <w:rPr>
          <w:rFonts w:cs="Times New Roman"/>
          <w:b/>
          <w:color w:val="000000" w:themeColor="text1"/>
          <w:sz w:val="30"/>
          <w:szCs w:val="30"/>
        </w:rPr>
      </w:pPr>
      <w:r w:rsidRPr="0047285C">
        <w:rPr>
          <w:rFonts w:cs="Times New Roman"/>
          <w:b/>
          <w:color w:val="000000" w:themeColor="text1"/>
          <w:sz w:val="30"/>
          <w:szCs w:val="30"/>
        </w:rPr>
        <w:t xml:space="preserve">«Ο Μετασχηματισμός του Ενεργειακού Συστήματος </w:t>
      </w:r>
    </w:p>
    <w:p w:rsidR="0047285C" w:rsidRPr="0047285C" w:rsidRDefault="0047285C" w:rsidP="0047285C">
      <w:pPr>
        <w:jc w:val="center"/>
        <w:rPr>
          <w:rFonts w:cs="Times New Roman"/>
          <w:b/>
          <w:color w:val="000000" w:themeColor="text1"/>
          <w:sz w:val="30"/>
          <w:szCs w:val="30"/>
        </w:rPr>
      </w:pPr>
      <w:r w:rsidRPr="0047285C">
        <w:rPr>
          <w:rFonts w:cs="Times New Roman"/>
          <w:b/>
          <w:color w:val="000000" w:themeColor="text1"/>
          <w:sz w:val="30"/>
          <w:szCs w:val="30"/>
        </w:rPr>
        <w:t>Η Ελληνική αγορά ενέργειας σε μετάβαση και ο ρόλος των ΕΛΠΕ»</w:t>
      </w:r>
    </w:p>
    <w:p w:rsidR="0047285C" w:rsidRPr="0047285C" w:rsidRDefault="0047285C" w:rsidP="0047285C">
      <w:pPr>
        <w:jc w:val="center"/>
        <w:rPr>
          <w:rFonts w:cs="Times New Roman"/>
          <w:b/>
          <w:color w:val="000000" w:themeColor="text1"/>
          <w:sz w:val="30"/>
          <w:szCs w:val="30"/>
        </w:rPr>
      </w:pPr>
    </w:p>
    <w:p w:rsidR="0047285C" w:rsidRPr="0047285C" w:rsidRDefault="0047285C" w:rsidP="0047285C">
      <w:pPr>
        <w:jc w:val="center"/>
        <w:rPr>
          <w:rFonts w:cs="Times New Roman"/>
          <w:b/>
          <w:color w:val="000000" w:themeColor="text1"/>
          <w:sz w:val="30"/>
          <w:szCs w:val="30"/>
        </w:rPr>
      </w:pPr>
    </w:p>
    <w:p w:rsidR="0047285C" w:rsidRDefault="0047285C" w:rsidP="0047285C">
      <w:pPr>
        <w:jc w:val="center"/>
        <w:rPr>
          <w:rFonts w:cs="Times New Roman"/>
          <w:b/>
          <w:color w:val="000000" w:themeColor="text1"/>
          <w:sz w:val="30"/>
          <w:szCs w:val="30"/>
        </w:rPr>
      </w:pPr>
    </w:p>
    <w:p w:rsidR="00367E8E" w:rsidRPr="0047285C" w:rsidRDefault="00367E8E" w:rsidP="0047285C">
      <w:pPr>
        <w:jc w:val="center"/>
        <w:rPr>
          <w:rFonts w:cs="Times New Roman"/>
          <w:b/>
          <w:color w:val="000000" w:themeColor="text1"/>
          <w:sz w:val="30"/>
          <w:szCs w:val="30"/>
        </w:rPr>
      </w:pPr>
    </w:p>
    <w:p w:rsidR="0047285C" w:rsidRDefault="0047285C" w:rsidP="0047285C">
      <w:pPr>
        <w:rPr>
          <w:rFonts w:cs="Times New Roman"/>
          <w:b/>
          <w:color w:val="000000" w:themeColor="text1"/>
          <w:sz w:val="30"/>
          <w:szCs w:val="30"/>
        </w:rPr>
      </w:pPr>
    </w:p>
    <w:p w:rsidR="00E159D4" w:rsidRPr="0047285C" w:rsidRDefault="00E159D4" w:rsidP="0047285C">
      <w:pPr>
        <w:rPr>
          <w:rFonts w:cs="Times New Roman"/>
          <w:b/>
          <w:color w:val="000000" w:themeColor="text1"/>
          <w:sz w:val="30"/>
          <w:szCs w:val="30"/>
        </w:rPr>
      </w:pPr>
    </w:p>
    <w:p w:rsidR="0047285C" w:rsidRPr="0047285C" w:rsidRDefault="0047285C" w:rsidP="0047285C">
      <w:pPr>
        <w:jc w:val="center"/>
        <w:rPr>
          <w:rFonts w:cs="Times New Roman"/>
          <w:b/>
          <w:color w:val="000000" w:themeColor="text1"/>
          <w:sz w:val="30"/>
          <w:szCs w:val="30"/>
        </w:rPr>
      </w:pPr>
    </w:p>
    <w:p w:rsidR="0047285C" w:rsidRPr="00367E8E" w:rsidRDefault="0047285C" w:rsidP="0047285C">
      <w:pPr>
        <w:jc w:val="center"/>
        <w:rPr>
          <w:b/>
          <w:i/>
          <w:color w:val="000000" w:themeColor="text1"/>
          <w:sz w:val="28"/>
          <w:szCs w:val="28"/>
        </w:rPr>
      </w:pPr>
      <w:r w:rsidRPr="00367E8E">
        <w:rPr>
          <w:rFonts w:cs="Times New Roman"/>
          <w:b/>
          <w:i/>
          <w:color w:val="000000" w:themeColor="text1"/>
          <w:sz w:val="28"/>
          <w:szCs w:val="28"/>
        </w:rPr>
        <w:t>22</w:t>
      </w:r>
      <w:r w:rsidRPr="00367E8E">
        <w:rPr>
          <w:rFonts w:cs="Times New Roman"/>
          <w:b/>
          <w:i/>
          <w:color w:val="000000" w:themeColor="text1"/>
          <w:sz w:val="28"/>
          <w:szCs w:val="28"/>
          <w:vertAlign w:val="superscript"/>
        </w:rPr>
        <w:t>ο</w:t>
      </w:r>
      <w:r w:rsidRPr="00367E8E">
        <w:rPr>
          <w:rFonts w:cs="Times New Roman"/>
          <w:b/>
          <w:i/>
          <w:color w:val="000000" w:themeColor="text1"/>
          <w:sz w:val="28"/>
          <w:szCs w:val="28"/>
        </w:rPr>
        <w:t xml:space="preserve"> Εθνικό Συνέδριο Ενέργειας, ΙΕΝΕ</w:t>
      </w:r>
    </w:p>
    <w:p w:rsidR="0047285C" w:rsidRPr="00367E8E" w:rsidRDefault="0047285C" w:rsidP="0047285C">
      <w:pPr>
        <w:autoSpaceDE w:val="0"/>
        <w:autoSpaceDN w:val="0"/>
        <w:adjustRightInd w:val="0"/>
        <w:spacing w:after="0" w:line="240" w:lineRule="auto"/>
        <w:rPr>
          <w:rFonts w:cs="Calibri"/>
          <w:b/>
          <w:i/>
          <w:color w:val="000000"/>
          <w:sz w:val="28"/>
          <w:szCs w:val="28"/>
        </w:rPr>
      </w:pPr>
    </w:p>
    <w:p w:rsidR="007E4192" w:rsidRDefault="0047285C" w:rsidP="0047285C">
      <w:pPr>
        <w:jc w:val="center"/>
        <w:rPr>
          <w:rFonts w:cs="Times New Roman"/>
          <w:b/>
          <w:i/>
          <w:color w:val="000000" w:themeColor="text1"/>
          <w:sz w:val="28"/>
          <w:szCs w:val="28"/>
        </w:rPr>
      </w:pPr>
      <w:r w:rsidRPr="00367E8E">
        <w:rPr>
          <w:rFonts w:cs="Times New Roman"/>
          <w:b/>
          <w:i/>
          <w:color w:val="000000" w:themeColor="text1"/>
          <w:sz w:val="28"/>
          <w:szCs w:val="28"/>
        </w:rPr>
        <w:t xml:space="preserve"> Ίδρυμα Ευγενίδου, Αθήνα, 23-24 Νοεμβρίου, 2017</w:t>
      </w:r>
    </w:p>
    <w:p w:rsidR="00000180" w:rsidRPr="00EC5032" w:rsidRDefault="002D32E0" w:rsidP="002D32E0">
      <w:pPr>
        <w:pStyle w:val="a3"/>
        <w:numPr>
          <w:ilvl w:val="0"/>
          <w:numId w:val="11"/>
        </w:numPr>
        <w:spacing w:before="300" w:after="0" w:line="360" w:lineRule="auto"/>
        <w:jc w:val="both"/>
        <w:textAlignment w:val="top"/>
        <w:outlineLvl w:val="2"/>
        <w:rPr>
          <w:rFonts w:ascii="Times New Roman" w:eastAsia="Times New Roman" w:hAnsi="Times New Roman" w:cs="Times New Roman"/>
          <w:b/>
          <w:spacing w:val="-7"/>
          <w:sz w:val="32"/>
          <w:szCs w:val="32"/>
        </w:rPr>
      </w:pPr>
      <w:r w:rsidRPr="00EC5032">
        <w:rPr>
          <w:rFonts w:ascii="Times New Roman" w:eastAsia="Times New Roman" w:hAnsi="Times New Roman" w:cs="Times New Roman"/>
          <w:b/>
          <w:spacing w:val="-7"/>
          <w:sz w:val="32"/>
          <w:szCs w:val="32"/>
        </w:rPr>
        <w:lastRenderedPageBreak/>
        <w:t>Ο Παγκόσμιος Ενεργειακός Μετασχηματισμός</w:t>
      </w:r>
    </w:p>
    <w:p w:rsidR="00EC5032" w:rsidRPr="00EC5032" w:rsidRDefault="00EC5032" w:rsidP="002D32E0">
      <w:pPr>
        <w:spacing w:line="360" w:lineRule="auto"/>
        <w:ind w:left="360"/>
        <w:jc w:val="both"/>
        <w:rPr>
          <w:rStyle w:val="A00"/>
          <w:rFonts w:ascii="Times New Roman" w:hAnsi="Times New Roman" w:cs="Times New Roman"/>
          <w:b/>
          <w:sz w:val="24"/>
          <w:szCs w:val="24"/>
        </w:rPr>
      </w:pPr>
      <w:r w:rsidRPr="00EC5032">
        <w:rPr>
          <w:rStyle w:val="A00"/>
          <w:rFonts w:ascii="Times New Roman" w:hAnsi="Times New Roman" w:cs="Times New Roman"/>
          <w:b/>
          <w:sz w:val="24"/>
          <w:szCs w:val="24"/>
        </w:rPr>
        <w:t>1.1 Σύντομη Ιστορική Αναδρομή</w:t>
      </w:r>
    </w:p>
    <w:p w:rsidR="006B5A37" w:rsidRDefault="00C82842" w:rsidP="002D32E0">
      <w:pPr>
        <w:spacing w:line="360" w:lineRule="auto"/>
        <w:ind w:left="360"/>
        <w:jc w:val="both"/>
        <w:rPr>
          <w:rStyle w:val="A00"/>
          <w:rFonts w:ascii="Times New Roman" w:hAnsi="Times New Roman" w:cs="Times New Roman"/>
          <w:sz w:val="24"/>
          <w:szCs w:val="24"/>
        </w:rPr>
      </w:pPr>
      <w:r>
        <w:rPr>
          <w:rStyle w:val="A00"/>
          <w:rFonts w:ascii="Times New Roman" w:hAnsi="Times New Roman" w:cs="Times New Roman"/>
          <w:sz w:val="24"/>
          <w:szCs w:val="24"/>
        </w:rPr>
        <w:t>Οι πετρελαϊκές κρίσεις της δεκαετίας του 70, σήμαναν το τέλος του αναπτυξιακού παραγωγικού μοντέλου της μεταπολεμικής περιόδου, αν</w:t>
      </w:r>
      <w:r w:rsidR="007B5C32">
        <w:rPr>
          <w:rStyle w:val="A00"/>
          <w:rFonts w:ascii="Times New Roman" w:hAnsi="Times New Roman" w:cs="Times New Roman"/>
          <w:sz w:val="24"/>
          <w:szCs w:val="24"/>
        </w:rPr>
        <w:t>έ</w:t>
      </w:r>
      <w:r>
        <w:rPr>
          <w:rStyle w:val="A00"/>
          <w:rFonts w:ascii="Times New Roman" w:hAnsi="Times New Roman" w:cs="Times New Roman"/>
          <w:sz w:val="24"/>
          <w:szCs w:val="24"/>
        </w:rPr>
        <w:t>δειξαν</w:t>
      </w:r>
      <w:r w:rsidR="007B5C32">
        <w:rPr>
          <w:rStyle w:val="A00"/>
          <w:rFonts w:ascii="Times New Roman" w:hAnsi="Times New Roman" w:cs="Times New Roman"/>
          <w:sz w:val="24"/>
          <w:szCs w:val="24"/>
        </w:rPr>
        <w:t xml:space="preserve"> την ιδιαίτερη σημαντικότητα τ</w:t>
      </w:r>
      <w:r w:rsidR="006B5A37">
        <w:rPr>
          <w:rStyle w:val="A00"/>
          <w:rFonts w:ascii="Times New Roman" w:hAnsi="Times New Roman" w:cs="Times New Roman"/>
          <w:sz w:val="24"/>
          <w:szCs w:val="24"/>
        </w:rPr>
        <w:t xml:space="preserve">ων </w:t>
      </w:r>
      <w:r w:rsidR="007B5C32">
        <w:rPr>
          <w:rStyle w:val="A00"/>
          <w:rFonts w:ascii="Times New Roman" w:hAnsi="Times New Roman" w:cs="Times New Roman"/>
          <w:sz w:val="24"/>
          <w:szCs w:val="24"/>
        </w:rPr>
        <w:t>ζητ</w:t>
      </w:r>
      <w:r w:rsidR="006B5A37">
        <w:rPr>
          <w:rStyle w:val="A00"/>
          <w:rFonts w:ascii="Times New Roman" w:hAnsi="Times New Roman" w:cs="Times New Roman"/>
          <w:sz w:val="24"/>
          <w:szCs w:val="24"/>
        </w:rPr>
        <w:t>ημάτων</w:t>
      </w:r>
      <w:r w:rsidR="007B5C32" w:rsidRPr="005C1E02">
        <w:rPr>
          <w:rStyle w:val="A00"/>
          <w:rFonts w:ascii="Times New Roman" w:hAnsi="Times New Roman" w:cs="Times New Roman"/>
          <w:b/>
          <w:sz w:val="24"/>
          <w:szCs w:val="24"/>
        </w:rPr>
        <w:t>της ενεργειακής ασφάλειας</w:t>
      </w:r>
      <w:r w:rsidR="006B5A37">
        <w:rPr>
          <w:rStyle w:val="A00"/>
          <w:rFonts w:ascii="Times New Roman" w:hAnsi="Times New Roman" w:cs="Times New Roman"/>
          <w:sz w:val="24"/>
          <w:szCs w:val="24"/>
        </w:rPr>
        <w:t xml:space="preserve">, </w:t>
      </w:r>
      <w:r w:rsidR="005C1E02" w:rsidRPr="005C1E02">
        <w:rPr>
          <w:rStyle w:val="A00"/>
          <w:rFonts w:ascii="Times New Roman" w:hAnsi="Times New Roman" w:cs="Times New Roman"/>
          <w:b/>
          <w:sz w:val="24"/>
          <w:szCs w:val="24"/>
        </w:rPr>
        <w:t xml:space="preserve">του </w:t>
      </w:r>
      <w:r w:rsidR="006B5A37" w:rsidRPr="005C1E02">
        <w:rPr>
          <w:rStyle w:val="A00"/>
          <w:rFonts w:ascii="Times New Roman" w:hAnsi="Times New Roman" w:cs="Times New Roman"/>
          <w:b/>
          <w:sz w:val="24"/>
          <w:szCs w:val="24"/>
        </w:rPr>
        <w:t>εφοδιασμού</w:t>
      </w:r>
      <w:r w:rsidR="006B5A37">
        <w:rPr>
          <w:rStyle w:val="A00"/>
          <w:rFonts w:ascii="Times New Roman" w:hAnsi="Times New Roman" w:cs="Times New Roman"/>
          <w:sz w:val="24"/>
          <w:szCs w:val="24"/>
        </w:rPr>
        <w:t xml:space="preserve">, </w:t>
      </w:r>
      <w:r w:rsidR="006B5A37" w:rsidRPr="005C1E02">
        <w:rPr>
          <w:rStyle w:val="A00"/>
          <w:rFonts w:ascii="Times New Roman" w:hAnsi="Times New Roman" w:cs="Times New Roman"/>
          <w:b/>
          <w:sz w:val="24"/>
          <w:szCs w:val="24"/>
        </w:rPr>
        <w:t xml:space="preserve">της ενεργειακής αποδοτικότητας </w:t>
      </w:r>
      <w:r w:rsidR="006B5A37">
        <w:rPr>
          <w:rStyle w:val="A00"/>
          <w:rFonts w:ascii="Times New Roman" w:hAnsi="Times New Roman" w:cs="Times New Roman"/>
          <w:sz w:val="24"/>
          <w:szCs w:val="24"/>
        </w:rPr>
        <w:t xml:space="preserve">και </w:t>
      </w:r>
      <w:r w:rsidR="006B5A37" w:rsidRPr="005C1E02">
        <w:rPr>
          <w:rStyle w:val="A00"/>
          <w:rFonts w:ascii="Times New Roman" w:hAnsi="Times New Roman" w:cs="Times New Roman"/>
          <w:b/>
          <w:sz w:val="24"/>
          <w:szCs w:val="24"/>
        </w:rPr>
        <w:t>της ελαχιστοποίησης του ενεργειακού κόστους</w:t>
      </w:r>
      <w:r w:rsidR="006B5A37">
        <w:rPr>
          <w:rStyle w:val="A00"/>
          <w:rFonts w:ascii="Times New Roman" w:hAnsi="Times New Roman" w:cs="Times New Roman"/>
          <w:sz w:val="24"/>
          <w:szCs w:val="24"/>
        </w:rPr>
        <w:t xml:space="preserve"> ως τους βασικούς στόχους της ενεργειακής πολιτικής, </w:t>
      </w:r>
      <w:r w:rsidR="006B5A37" w:rsidRPr="005C1E02">
        <w:rPr>
          <w:rStyle w:val="A00"/>
          <w:rFonts w:ascii="Times New Roman" w:hAnsi="Times New Roman" w:cs="Times New Roman"/>
          <w:b/>
          <w:sz w:val="24"/>
          <w:szCs w:val="24"/>
        </w:rPr>
        <w:t>οι οποίοι με τηνμεταγενέστερη προσθήκη των πολιτικών περιβάλλοντος</w:t>
      </w:r>
      <w:r w:rsidR="006B5A37">
        <w:rPr>
          <w:rStyle w:val="A00"/>
          <w:rFonts w:ascii="Times New Roman" w:hAnsi="Times New Roman" w:cs="Times New Roman"/>
          <w:sz w:val="24"/>
          <w:szCs w:val="24"/>
        </w:rPr>
        <w:t xml:space="preserve"> για την αντιμετώπιση της κλιματικής αλλαγής</w:t>
      </w:r>
      <w:r w:rsidR="00071570">
        <w:rPr>
          <w:rStyle w:val="A00"/>
          <w:rFonts w:ascii="Times New Roman" w:hAnsi="Times New Roman" w:cs="Times New Roman"/>
          <w:sz w:val="24"/>
          <w:szCs w:val="24"/>
        </w:rPr>
        <w:t>,</w:t>
      </w:r>
      <w:r w:rsidR="006B5A37">
        <w:rPr>
          <w:rStyle w:val="A00"/>
          <w:rFonts w:ascii="Times New Roman" w:hAnsi="Times New Roman" w:cs="Times New Roman"/>
          <w:sz w:val="24"/>
          <w:szCs w:val="24"/>
        </w:rPr>
        <w:t xml:space="preserve"> συνθέτουν διαχρονικά τη βάση του ενεργειακού σχεδιασμού και την αφετηρία του μετασχηματισμού των σύγχρονων ενεργειακών συστημάτων.</w:t>
      </w:r>
    </w:p>
    <w:p w:rsidR="006B5A37" w:rsidRPr="005C1E02" w:rsidRDefault="006B5A37" w:rsidP="002D32E0">
      <w:pPr>
        <w:spacing w:line="360" w:lineRule="auto"/>
        <w:ind w:left="360"/>
        <w:jc w:val="both"/>
        <w:rPr>
          <w:rStyle w:val="A00"/>
          <w:rFonts w:ascii="Times New Roman" w:hAnsi="Times New Roman" w:cs="Times New Roman"/>
          <w:b/>
          <w:sz w:val="24"/>
          <w:szCs w:val="24"/>
        </w:rPr>
      </w:pPr>
      <w:r>
        <w:rPr>
          <w:rStyle w:val="A00"/>
          <w:rFonts w:ascii="Times New Roman" w:hAnsi="Times New Roman" w:cs="Times New Roman"/>
          <w:sz w:val="24"/>
          <w:szCs w:val="24"/>
        </w:rPr>
        <w:t>Στην περίπτωση της Ευρωπαϊκής Ένωσης η ενεργειακή πολιτική όπως καταγράφεται στην παρ. 1 του άρθρου 194 της Συνθήκης για τη Λειτουργία της Ευρωπαϊκής Ένωσης</w:t>
      </w:r>
      <w:r w:rsidR="0099625D">
        <w:rPr>
          <w:rStyle w:val="a7"/>
          <w:rFonts w:ascii="Times New Roman" w:hAnsi="Times New Roman" w:cs="Times New Roman"/>
          <w:color w:val="000000"/>
          <w:sz w:val="24"/>
          <w:szCs w:val="24"/>
        </w:rPr>
        <w:footnoteReference w:id="2"/>
      </w:r>
      <w:r>
        <w:rPr>
          <w:rStyle w:val="A00"/>
          <w:rFonts w:ascii="Times New Roman" w:hAnsi="Times New Roman" w:cs="Times New Roman"/>
          <w:sz w:val="24"/>
          <w:szCs w:val="24"/>
        </w:rPr>
        <w:t xml:space="preserve">, πέραν των ανωτέρω </w:t>
      </w:r>
      <w:r w:rsidRPr="005C1E02">
        <w:rPr>
          <w:rStyle w:val="A00"/>
          <w:rFonts w:ascii="Times New Roman" w:hAnsi="Times New Roman" w:cs="Times New Roman"/>
          <w:b/>
          <w:sz w:val="24"/>
          <w:szCs w:val="24"/>
        </w:rPr>
        <w:t>συμπληρώνεται από την</w:t>
      </w:r>
      <w:r>
        <w:rPr>
          <w:rStyle w:val="A00"/>
          <w:rFonts w:ascii="Times New Roman" w:hAnsi="Times New Roman" w:cs="Times New Roman"/>
          <w:sz w:val="24"/>
          <w:szCs w:val="24"/>
        </w:rPr>
        <w:t xml:space="preserve"> σαφή αναφορά στην </w:t>
      </w:r>
      <w:r w:rsidRPr="00FB423F">
        <w:rPr>
          <w:rStyle w:val="A00"/>
          <w:rFonts w:ascii="Times New Roman" w:hAnsi="Times New Roman" w:cs="Times New Roman"/>
          <w:b/>
          <w:sz w:val="24"/>
          <w:szCs w:val="24"/>
        </w:rPr>
        <w:t>ανάπτυξη νέων ανανεώσιμων πηγών</w:t>
      </w:r>
      <w:r>
        <w:rPr>
          <w:rStyle w:val="A00"/>
          <w:rFonts w:ascii="Times New Roman" w:hAnsi="Times New Roman" w:cs="Times New Roman"/>
          <w:sz w:val="24"/>
          <w:szCs w:val="24"/>
        </w:rPr>
        <w:t xml:space="preserve"> ενέργειας, </w:t>
      </w:r>
      <w:r w:rsidRPr="005C1E02">
        <w:rPr>
          <w:rStyle w:val="A00"/>
          <w:rFonts w:ascii="Times New Roman" w:hAnsi="Times New Roman" w:cs="Times New Roman"/>
          <w:b/>
          <w:sz w:val="24"/>
          <w:szCs w:val="24"/>
        </w:rPr>
        <w:t>την προώθηση της διασύνδεσης των ενεργειακών δικτύων και την διασφάλιση της λειτουργίας της εσωτερικής αγοράς ενέργειας.</w:t>
      </w:r>
    </w:p>
    <w:p w:rsidR="00A04A0E" w:rsidRDefault="00F03D4D" w:rsidP="002D32E0">
      <w:pPr>
        <w:spacing w:line="360" w:lineRule="auto"/>
        <w:ind w:left="360"/>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Ανάλογες πολιτικές, με κατά περίπτωση διαφοροποιήσεις, εφαρμόσθηκαν στο σύνολο των αναπτυγμένων χωρών </w:t>
      </w:r>
      <w:r w:rsidRPr="00FB423F">
        <w:rPr>
          <w:rStyle w:val="A00"/>
          <w:rFonts w:ascii="Times New Roman" w:hAnsi="Times New Roman" w:cs="Times New Roman"/>
          <w:b/>
          <w:sz w:val="24"/>
          <w:szCs w:val="24"/>
        </w:rPr>
        <w:t xml:space="preserve">με αποτέλεσμα τη σημαντική </w:t>
      </w:r>
      <w:r w:rsidR="00201CD4">
        <w:rPr>
          <w:rStyle w:val="A00"/>
          <w:rFonts w:ascii="Times New Roman" w:hAnsi="Times New Roman" w:cs="Times New Roman"/>
          <w:b/>
          <w:sz w:val="24"/>
          <w:szCs w:val="24"/>
        </w:rPr>
        <w:t xml:space="preserve">βελτίωση στην απόδοση ενέργειας </w:t>
      </w:r>
      <w:r w:rsidR="00585E48">
        <w:rPr>
          <w:rStyle w:val="A00"/>
          <w:rFonts w:ascii="Times New Roman" w:hAnsi="Times New Roman" w:cs="Times New Roman"/>
          <w:sz w:val="24"/>
          <w:szCs w:val="24"/>
        </w:rPr>
        <w:t>(</w:t>
      </w:r>
      <w:r w:rsidR="00585E48">
        <w:rPr>
          <w:rStyle w:val="A00"/>
          <w:rFonts w:ascii="Times New Roman" w:hAnsi="Times New Roman" w:cs="Times New Roman"/>
          <w:sz w:val="24"/>
          <w:szCs w:val="24"/>
          <w:lang w:val="en-US"/>
        </w:rPr>
        <w:t>energyefficiency</w:t>
      </w:r>
      <w:r w:rsidR="00585E48" w:rsidRPr="00585E48">
        <w:rPr>
          <w:rStyle w:val="A00"/>
          <w:rFonts w:ascii="Times New Roman" w:hAnsi="Times New Roman" w:cs="Times New Roman"/>
          <w:sz w:val="24"/>
          <w:szCs w:val="24"/>
        </w:rPr>
        <w:t xml:space="preserve">) </w:t>
      </w:r>
      <w:r w:rsidR="00201CD4" w:rsidRPr="00201CD4">
        <w:rPr>
          <w:rStyle w:val="A00"/>
          <w:rFonts w:ascii="Times New Roman" w:hAnsi="Times New Roman" w:cs="Times New Roman"/>
          <w:sz w:val="24"/>
          <w:szCs w:val="24"/>
        </w:rPr>
        <w:t>που εκφράζεται με το</w:t>
      </w:r>
      <w:r w:rsidR="00201CD4">
        <w:rPr>
          <w:rStyle w:val="A00"/>
          <w:rFonts w:ascii="Times New Roman" w:hAnsi="Times New Roman" w:cs="Times New Roman"/>
          <w:b/>
          <w:sz w:val="24"/>
          <w:szCs w:val="24"/>
        </w:rPr>
        <w:t xml:space="preserve"> δείκτη της ενεργειακής έντασης </w:t>
      </w:r>
      <w:r w:rsidR="00201CD4" w:rsidRPr="00201CD4">
        <w:rPr>
          <w:rStyle w:val="A00"/>
          <w:rFonts w:ascii="Times New Roman" w:hAnsi="Times New Roman" w:cs="Times New Roman"/>
          <w:sz w:val="24"/>
          <w:szCs w:val="24"/>
        </w:rPr>
        <w:t>(</w:t>
      </w:r>
      <w:r w:rsidR="00585E48">
        <w:rPr>
          <w:rStyle w:val="A00"/>
          <w:rFonts w:ascii="Times New Roman" w:hAnsi="Times New Roman" w:cs="Times New Roman"/>
          <w:sz w:val="24"/>
          <w:szCs w:val="24"/>
          <w:lang w:val="en-US"/>
        </w:rPr>
        <w:t>Energyintensity</w:t>
      </w:r>
      <w:r w:rsidR="00585E48" w:rsidRPr="00585E48">
        <w:rPr>
          <w:rStyle w:val="A00"/>
          <w:rFonts w:ascii="Times New Roman" w:hAnsi="Times New Roman" w:cs="Times New Roman"/>
          <w:sz w:val="24"/>
          <w:szCs w:val="24"/>
        </w:rPr>
        <w:t xml:space="preserve">, </w:t>
      </w:r>
      <w:r w:rsidR="00201CD4" w:rsidRPr="00201CD4">
        <w:rPr>
          <w:rStyle w:val="A00"/>
          <w:rFonts w:ascii="Times New Roman" w:hAnsi="Times New Roman" w:cs="Times New Roman"/>
          <w:sz w:val="24"/>
          <w:szCs w:val="24"/>
        </w:rPr>
        <w:t>Ενέργεια/ΑΕΠ), ο οποίος την περίοδο 1990-2015 μειώθηκε κατά</w:t>
      </w:r>
      <w:r w:rsidR="00F1795D">
        <w:rPr>
          <w:rStyle w:val="A00"/>
          <w:rFonts w:ascii="Times New Roman" w:hAnsi="Times New Roman" w:cs="Times New Roman"/>
          <w:sz w:val="24"/>
          <w:szCs w:val="24"/>
        </w:rPr>
        <w:t>37,44% στις ΗΠΑ, 23,40% στην Ιαπωνία, 35,97% στην ΕΕ, και 29,68</w:t>
      </w:r>
      <w:r>
        <w:rPr>
          <w:rStyle w:val="A00"/>
          <w:rFonts w:ascii="Times New Roman" w:hAnsi="Times New Roman" w:cs="Times New Roman"/>
          <w:sz w:val="24"/>
          <w:szCs w:val="24"/>
        </w:rPr>
        <w:t>% στις χώρες του Ο.Ο.Σ.Α</w:t>
      </w:r>
      <w:r w:rsidR="00A04A0E">
        <w:rPr>
          <w:rStyle w:val="A00"/>
          <w:rFonts w:ascii="Times New Roman" w:hAnsi="Times New Roman" w:cs="Times New Roman"/>
          <w:sz w:val="24"/>
          <w:szCs w:val="24"/>
        </w:rPr>
        <w:t xml:space="preserve">. </w:t>
      </w:r>
    </w:p>
    <w:p w:rsidR="00F03D4D" w:rsidRDefault="00F03D4D" w:rsidP="002D32E0">
      <w:pPr>
        <w:spacing w:line="360" w:lineRule="auto"/>
        <w:ind w:left="360"/>
        <w:jc w:val="both"/>
        <w:rPr>
          <w:rStyle w:val="A00"/>
          <w:rFonts w:ascii="Times New Roman" w:hAnsi="Times New Roman" w:cs="Times New Roman"/>
          <w:sz w:val="24"/>
          <w:szCs w:val="24"/>
        </w:rPr>
      </w:pPr>
      <w:r>
        <w:rPr>
          <w:rStyle w:val="A00"/>
          <w:rFonts w:ascii="Times New Roman" w:hAnsi="Times New Roman" w:cs="Times New Roman"/>
          <w:sz w:val="24"/>
          <w:szCs w:val="24"/>
        </w:rPr>
        <w:t>Παρά όμως τις σημαντικές επίσης μειώσεις που σημειώθηκαν σ</w:t>
      </w:r>
      <w:r w:rsidR="00DA19FF">
        <w:rPr>
          <w:rStyle w:val="A00"/>
          <w:rFonts w:ascii="Times New Roman" w:hAnsi="Times New Roman" w:cs="Times New Roman"/>
          <w:sz w:val="24"/>
          <w:szCs w:val="24"/>
        </w:rPr>
        <w:t>τις αναπτυσσόμενες χώρες (36,86</w:t>
      </w:r>
      <w:r>
        <w:rPr>
          <w:rStyle w:val="A00"/>
          <w:rFonts w:ascii="Times New Roman" w:hAnsi="Times New Roman" w:cs="Times New Roman"/>
          <w:sz w:val="24"/>
          <w:szCs w:val="24"/>
        </w:rPr>
        <w:t>% στις χώρες εκτός Ο.Ο.Σ.Α</w:t>
      </w:r>
      <w:r w:rsidR="005C1E02">
        <w:rPr>
          <w:rStyle w:val="A00"/>
          <w:rFonts w:ascii="Times New Roman" w:hAnsi="Times New Roman" w:cs="Times New Roman"/>
          <w:sz w:val="24"/>
          <w:szCs w:val="24"/>
        </w:rPr>
        <w:t>)</w:t>
      </w:r>
      <w:r>
        <w:rPr>
          <w:rStyle w:val="A00"/>
          <w:rFonts w:ascii="Times New Roman" w:hAnsi="Times New Roman" w:cs="Times New Roman"/>
          <w:sz w:val="24"/>
          <w:szCs w:val="24"/>
        </w:rPr>
        <w:t xml:space="preserve"> και ιδιαίτερα στις πρωταγωνίστριες χώρες του 21</w:t>
      </w:r>
      <w:r w:rsidRPr="00F03D4D">
        <w:rPr>
          <w:rStyle w:val="A00"/>
          <w:rFonts w:ascii="Times New Roman" w:hAnsi="Times New Roman" w:cs="Times New Roman"/>
          <w:sz w:val="24"/>
          <w:szCs w:val="24"/>
          <w:vertAlign w:val="superscript"/>
        </w:rPr>
        <w:t>ου</w:t>
      </w:r>
      <w:r w:rsidR="00CB40BE">
        <w:rPr>
          <w:rStyle w:val="A00"/>
          <w:rFonts w:ascii="Times New Roman" w:hAnsi="Times New Roman" w:cs="Times New Roman"/>
          <w:sz w:val="24"/>
          <w:szCs w:val="24"/>
        </w:rPr>
        <w:t xml:space="preserve"> αιώνα Κίνα και Ινδία (68,19% και 42,86</w:t>
      </w:r>
      <w:r>
        <w:rPr>
          <w:rStyle w:val="A00"/>
          <w:rFonts w:ascii="Times New Roman" w:hAnsi="Times New Roman" w:cs="Times New Roman"/>
          <w:sz w:val="24"/>
          <w:szCs w:val="24"/>
        </w:rPr>
        <w:t xml:space="preserve">% </w:t>
      </w:r>
      <w:r>
        <w:rPr>
          <w:rStyle w:val="A00"/>
          <w:rFonts w:ascii="Times New Roman" w:hAnsi="Times New Roman" w:cs="Times New Roman"/>
          <w:sz w:val="24"/>
          <w:szCs w:val="24"/>
        </w:rPr>
        <w:lastRenderedPageBreak/>
        <w:t>αντίστοιχα</w:t>
      </w:r>
      <w:r w:rsidR="00CB40BE">
        <w:rPr>
          <w:rStyle w:val="A00"/>
          <w:rFonts w:ascii="Times New Roman" w:hAnsi="Times New Roman" w:cs="Times New Roman"/>
          <w:sz w:val="24"/>
          <w:szCs w:val="24"/>
        </w:rPr>
        <w:t>,</w:t>
      </w:r>
      <w:r>
        <w:rPr>
          <w:rStyle w:val="A00"/>
          <w:rFonts w:ascii="Times New Roman" w:hAnsi="Times New Roman" w:cs="Times New Roman"/>
          <w:sz w:val="24"/>
          <w:szCs w:val="24"/>
        </w:rPr>
        <w:t xml:space="preserve">) έντονες </w:t>
      </w:r>
      <w:r w:rsidRPr="005C1E02">
        <w:rPr>
          <w:rStyle w:val="A00"/>
          <w:rFonts w:ascii="Times New Roman" w:hAnsi="Times New Roman" w:cs="Times New Roman"/>
          <w:b/>
          <w:sz w:val="24"/>
          <w:szCs w:val="24"/>
        </w:rPr>
        <w:t>παρέμειναν οι διαφοροποιήσεις στην ενεργειακή ένταση</w:t>
      </w:r>
      <w:r>
        <w:rPr>
          <w:rStyle w:val="A00"/>
          <w:rFonts w:ascii="Times New Roman" w:hAnsi="Times New Roman" w:cs="Times New Roman"/>
          <w:sz w:val="24"/>
          <w:szCs w:val="24"/>
        </w:rPr>
        <w:t xml:space="preserve"> μεταξύ ανεπτυγμένων, αναπτυσσόμενων και υπό ανάπτυξη χωρών, </w:t>
      </w:r>
      <w:r w:rsidRPr="005C1E02">
        <w:rPr>
          <w:rStyle w:val="A00"/>
          <w:rFonts w:ascii="Times New Roman" w:hAnsi="Times New Roman" w:cs="Times New Roman"/>
          <w:b/>
          <w:sz w:val="24"/>
          <w:szCs w:val="24"/>
        </w:rPr>
        <w:t xml:space="preserve">ενδεικτικό στοιχείο των παραμενόντων προβλημάτων της άνισης ανάπτυξης </w:t>
      </w:r>
      <w:r>
        <w:rPr>
          <w:rStyle w:val="A00"/>
          <w:rFonts w:ascii="Times New Roman" w:hAnsi="Times New Roman" w:cs="Times New Roman"/>
          <w:sz w:val="24"/>
          <w:szCs w:val="24"/>
        </w:rPr>
        <w:t>και της εκ των πραγμάτων διαφορετικής οπτικής στο ζήτημα αντιμετώπισης του μείζονος σύγχρονου προβλήματος της κλιματικής αλλαγής</w:t>
      </w:r>
      <w:r w:rsidR="00CB40BE">
        <w:rPr>
          <w:rStyle w:val="A00"/>
          <w:rFonts w:ascii="Times New Roman" w:hAnsi="Times New Roman" w:cs="Times New Roman"/>
          <w:sz w:val="24"/>
          <w:szCs w:val="24"/>
        </w:rPr>
        <w:t>.</w:t>
      </w:r>
    </w:p>
    <w:p w:rsidR="006B5A37" w:rsidRDefault="00F03D4D" w:rsidP="00BB6337">
      <w:pPr>
        <w:spacing w:line="360" w:lineRule="auto"/>
        <w:ind w:left="357"/>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Η συνολική αυτή τάση μείωσης της ενεργειακής έντασης διαμόρφωσε τον ετήσιο </w:t>
      </w:r>
      <w:r w:rsidR="006C2DF9">
        <w:rPr>
          <w:rStyle w:val="A00"/>
          <w:rFonts w:ascii="Times New Roman" w:hAnsi="Times New Roman" w:cs="Times New Roman"/>
          <w:sz w:val="24"/>
          <w:szCs w:val="24"/>
        </w:rPr>
        <w:t xml:space="preserve">ρυθμό μείωσης της παγκόσμιας ενεργειακής έντασης </w:t>
      </w:r>
      <w:r w:rsidR="008E214E">
        <w:rPr>
          <w:rStyle w:val="A00"/>
          <w:rFonts w:ascii="Times New Roman" w:hAnsi="Times New Roman" w:cs="Times New Roman"/>
          <w:sz w:val="24"/>
          <w:szCs w:val="24"/>
        </w:rPr>
        <w:t xml:space="preserve">σε </w:t>
      </w:r>
      <w:r w:rsidR="00CB40BE">
        <w:rPr>
          <w:rStyle w:val="A00"/>
          <w:rFonts w:ascii="Times New Roman" w:hAnsi="Times New Roman" w:cs="Times New Roman"/>
          <w:sz w:val="24"/>
          <w:szCs w:val="24"/>
        </w:rPr>
        <w:t>1,5% έναντι 1,8</w:t>
      </w:r>
      <w:r w:rsidR="00705598">
        <w:rPr>
          <w:rStyle w:val="A00"/>
          <w:rFonts w:ascii="Times New Roman" w:hAnsi="Times New Roman" w:cs="Times New Roman"/>
          <w:sz w:val="24"/>
          <w:szCs w:val="24"/>
        </w:rPr>
        <w:t>% της ΕΕ και 1,9</w:t>
      </w:r>
      <w:r w:rsidR="006C2DF9">
        <w:rPr>
          <w:rStyle w:val="A00"/>
          <w:rFonts w:ascii="Times New Roman" w:hAnsi="Times New Roman" w:cs="Times New Roman"/>
          <w:sz w:val="24"/>
          <w:szCs w:val="24"/>
        </w:rPr>
        <w:t>% των ΗΠΑ. Μάλιστα δε</w:t>
      </w:r>
      <w:r w:rsidR="00705598">
        <w:rPr>
          <w:rStyle w:val="A00"/>
          <w:rFonts w:ascii="Times New Roman" w:hAnsi="Times New Roman" w:cs="Times New Roman"/>
          <w:sz w:val="24"/>
          <w:szCs w:val="24"/>
        </w:rPr>
        <w:t>,</w:t>
      </w:r>
      <w:r w:rsidR="006C2DF9">
        <w:rPr>
          <w:rStyle w:val="A00"/>
          <w:rFonts w:ascii="Times New Roman" w:hAnsi="Times New Roman" w:cs="Times New Roman"/>
          <w:sz w:val="24"/>
          <w:szCs w:val="24"/>
        </w:rPr>
        <w:t xml:space="preserve"> θα πρέπει να επισημανθεί ότι η συνολική μείωση του συντελεστή επιτεύχθηκε</w:t>
      </w:r>
      <w:r w:rsidR="00705598">
        <w:rPr>
          <w:rStyle w:val="A00"/>
          <w:rFonts w:ascii="Times New Roman" w:hAnsi="Times New Roman" w:cs="Times New Roman"/>
          <w:sz w:val="24"/>
          <w:szCs w:val="24"/>
        </w:rPr>
        <w:t>,</w:t>
      </w:r>
      <w:r w:rsidR="006C2DF9">
        <w:rPr>
          <w:rStyle w:val="A00"/>
          <w:rFonts w:ascii="Times New Roman" w:hAnsi="Times New Roman" w:cs="Times New Roman"/>
          <w:sz w:val="24"/>
          <w:szCs w:val="24"/>
        </w:rPr>
        <w:t xml:space="preserve"> παρά το ότι στους τομείς οικιακής κατανάλωσης και της παραγωγής ηλεκτρικής ενέργειας η ενεργειακή ένταση α</w:t>
      </w:r>
      <w:r w:rsidR="00C5745C">
        <w:rPr>
          <w:rStyle w:val="A00"/>
          <w:rFonts w:ascii="Times New Roman" w:hAnsi="Times New Roman" w:cs="Times New Roman"/>
          <w:sz w:val="24"/>
          <w:szCs w:val="24"/>
        </w:rPr>
        <w:t>υξήθηκε με ετήσιους ρυθμούς 1,7% και 0,5</w:t>
      </w:r>
      <w:r w:rsidR="006C2DF9">
        <w:rPr>
          <w:rStyle w:val="A00"/>
          <w:rFonts w:ascii="Times New Roman" w:hAnsi="Times New Roman" w:cs="Times New Roman"/>
          <w:sz w:val="24"/>
          <w:szCs w:val="24"/>
        </w:rPr>
        <w:t>% αντίστοιχα.</w:t>
      </w:r>
    </w:p>
    <w:p w:rsidR="0001792B" w:rsidRDefault="0001792B" w:rsidP="007B5C32">
      <w:pPr>
        <w:spacing w:line="360" w:lineRule="auto"/>
        <w:jc w:val="both"/>
        <w:rPr>
          <w:rStyle w:val="A00"/>
          <w:rFonts w:ascii="Times New Roman" w:hAnsi="Times New Roman" w:cs="Times New Roman"/>
          <w:sz w:val="24"/>
          <w:szCs w:val="24"/>
        </w:rPr>
      </w:pPr>
      <w:r>
        <w:rPr>
          <w:rStyle w:val="A00"/>
          <w:rFonts w:ascii="Times New Roman" w:hAnsi="Times New Roman" w:cs="Times New Roman"/>
          <w:sz w:val="24"/>
          <w:szCs w:val="24"/>
        </w:rPr>
        <w:t>Η εφαρμογή των πολιτικών αυτών είχε ως συνέπεια:</w:t>
      </w:r>
    </w:p>
    <w:p w:rsidR="0001792B" w:rsidRDefault="0001792B" w:rsidP="00BB6337">
      <w:pPr>
        <w:spacing w:line="360" w:lineRule="auto"/>
        <w:ind w:left="567" w:hanging="567"/>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    α) </w:t>
      </w:r>
      <w:r w:rsidRPr="00BB6337">
        <w:rPr>
          <w:rStyle w:val="A00"/>
          <w:rFonts w:ascii="Times New Roman" w:hAnsi="Times New Roman" w:cs="Times New Roman"/>
          <w:b/>
          <w:sz w:val="24"/>
          <w:szCs w:val="24"/>
        </w:rPr>
        <w:t>μια ισχυρή συσχέτιση μεταξύ του ρυθμού ανάπτυξης</w:t>
      </w:r>
      <w:r>
        <w:rPr>
          <w:rStyle w:val="A00"/>
          <w:rFonts w:ascii="Times New Roman" w:hAnsi="Times New Roman" w:cs="Times New Roman"/>
          <w:sz w:val="24"/>
          <w:szCs w:val="24"/>
        </w:rPr>
        <w:t xml:space="preserve"> της παγκόσμιας οικονομίας </w:t>
      </w:r>
      <w:r w:rsidRPr="00BB6337">
        <w:rPr>
          <w:rStyle w:val="A00"/>
          <w:rFonts w:ascii="Times New Roman" w:hAnsi="Times New Roman" w:cs="Times New Roman"/>
          <w:b/>
          <w:sz w:val="24"/>
          <w:szCs w:val="24"/>
        </w:rPr>
        <w:t>και των</w:t>
      </w:r>
      <w:r w:rsidR="00071570">
        <w:rPr>
          <w:rStyle w:val="A00"/>
          <w:rFonts w:ascii="Times New Roman" w:hAnsi="Times New Roman" w:cs="Times New Roman"/>
          <w:sz w:val="24"/>
          <w:szCs w:val="24"/>
        </w:rPr>
        <w:t xml:space="preserve">ενεργειακών </w:t>
      </w:r>
      <w:r w:rsidRPr="00BB6337">
        <w:rPr>
          <w:rStyle w:val="A00"/>
          <w:rFonts w:ascii="Times New Roman" w:hAnsi="Times New Roman" w:cs="Times New Roman"/>
          <w:b/>
          <w:sz w:val="24"/>
          <w:szCs w:val="24"/>
        </w:rPr>
        <w:t>εκπομπών διοξειδίου του άνθρακα</w:t>
      </w:r>
      <w:r w:rsidR="00C5745C">
        <w:rPr>
          <w:rStyle w:val="A00"/>
          <w:rFonts w:ascii="Times New Roman" w:hAnsi="Times New Roman" w:cs="Times New Roman"/>
          <w:sz w:val="24"/>
          <w:szCs w:val="24"/>
        </w:rPr>
        <w:t xml:space="preserve"> που αυξήθηκαν κατά 50</w:t>
      </w:r>
      <w:r>
        <w:rPr>
          <w:rStyle w:val="A00"/>
          <w:rFonts w:ascii="Times New Roman" w:hAnsi="Times New Roman" w:cs="Times New Roman"/>
          <w:sz w:val="24"/>
          <w:szCs w:val="24"/>
        </w:rPr>
        <w:t xml:space="preserve">% </w:t>
      </w:r>
      <w:r w:rsidR="006C2DF9">
        <w:rPr>
          <w:rStyle w:val="A00"/>
          <w:rFonts w:ascii="Times New Roman" w:hAnsi="Times New Roman" w:cs="Times New Roman"/>
          <w:sz w:val="24"/>
          <w:szCs w:val="24"/>
        </w:rPr>
        <w:t xml:space="preserve">μετά το 1990, </w:t>
      </w:r>
      <w:r>
        <w:rPr>
          <w:rStyle w:val="A00"/>
          <w:rFonts w:ascii="Times New Roman" w:hAnsi="Times New Roman" w:cs="Times New Roman"/>
          <w:sz w:val="24"/>
          <w:szCs w:val="24"/>
        </w:rPr>
        <w:t xml:space="preserve">ξεπερνώντας τους 30 γιγατόνους </w:t>
      </w:r>
      <w:r w:rsidR="006C2DF9">
        <w:rPr>
          <w:rStyle w:val="A00"/>
          <w:rFonts w:ascii="Times New Roman" w:hAnsi="Times New Roman" w:cs="Times New Roman"/>
          <w:sz w:val="24"/>
          <w:szCs w:val="24"/>
        </w:rPr>
        <w:t>κατ’ έτος από το 2011 και εξής.</w:t>
      </w:r>
    </w:p>
    <w:p w:rsidR="00BD7FAB" w:rsidRPr="00BB6337" w:rsidRDefault="0001792B" w:rsidP="0001792B">
      <w:pPr>
        <w:spacing w:line="360" w:lineRule="auto"/>
        <w:ind w:left="426" w:hanging="426"/>
        <w:jc w:val="both"/>
        <w:rPr>
          <w:rStyle w:val="A00"/>
          <w:rFonts w:ascii="Times New Roman" w:hAnsi="Times New Roman" w:cs="Times New Roman"/>
          <w:b/>
          <w:sz w:val="24"/>
          <w:szCs w:val="24"/>
        </w:rPr>
      </w:pPr>
      <w:r>
        <w:rPr>
          <w:rStyle w:val="A00"/>
          <w:rFonts w:ascii="Times New Roman" w:hAnsi="Times New Roman" w:cs="Times New Roman"/>
          <w:sz w:val="24"/>
          <w:szCs w:val="24"/>
        </w:rPr>
        <w:t xml:space="preserve">β) </w:t>
      </w:r>
      <w:r w:rsidRPr="00BB6337">
        <w:rPr>
          <w:rStyle w:val="A00"/>
          <w:rFonts w:ascii="Times New Roman" w:hAnsi="Times New Roman" w:cs="Times New Roman"/>
          <w:b/>
          <w:sz w:val="24"/>
          <w:szCs w:val="24"/>
        </w:rPr>
        <w:t xml:space="preserve">την ανάδειξη και του </w:t>
      </w:r>
      <w:r w:rsidR="006C2DF9" w:rsidRPr="00BB6337">
        <w:rPr>
          <w:rStyle w:val="A00"/>
          <w:rFonts w:ascii="Times New Roman" w:hAnsi="Times New Roman" w:cs="Times New Roman"/>
          <w:b/>
          <w:sz w:val="24"/>
          <w:szCs w:val="24"/>
        </w:rPr>
        <w:t>Φ</w:t>
      </w:r>
      <w:r w:rsidRPr="00BB6337">
        <w:rPr>
          <w:rStyle w:val="A00"/>
          <w:rFonts w:ascii="Times New Roman" w:hAnsi="Times New Roman" w:cs="Times New Roman"/>
          <w:b/>
          <w:sz w:val="24"/>
          <w:szCs w:val="24"/>
        </w:rPr>
        <w:t>υσικού Αερίου</w:t>
      </w:r>
      <w:r>
        <w:rPr>
          <w:rStyle w:val="A00"/>
          <w:rFonts w:ascii="Times New Roman" w:hAnsi="Times New Roman" w:cs="Times New Roman"/>
          <w:sz w:val="24"/>
          <w:szCs w:val="24"/>
        </w:rPr>
        <w:t xml:space="preserve"> και ειδικότερα του </w:t>
      </w:r>
      <w:r w:rsidR="00C5745C">
        <w:rPr>
          <w:rStyle w:val="A00"/>
          <w:rFonts w:ascii="Times New Roman" w:hAnsi="Times New Roman" w:cs="Times New Roman"/>
          <w:sz w:val="24"/>
          <w:szCs w:val="24"/>
        </w:rPr>
        <w:t>«</w:t>
      </w:r>
      <w:r>
        <w:rPr>
          <w:rStyle w:val="A00"/>
          <w:rFonts w:ascii="Times New Roman" w:hAnsi="Times New Roman" w:cs="Times New Roman"/>
          <w:sz w:val="24"/>
          <w:szCs w:val="24"/>
        </w:rPr>
        <w:t>ελέγχου</w:t>
      </w:r>
      <w:r w:rsidR="00C5745C">
        <w:rPr>
          <w:rStyle w:val="A00"/>
          <w:rFonts w:ascii="Times New Roman" w:hAnsi="Times New Roman" w:cs="Times New Roman"/>
          <w:sz w:val="24"/>
          <w:szCs w:val="24"/>
        </w:rPr>
        <w:t>»</w:t>
      </w:r>
      <w:r w:rsidRPr="00BB6337">
        <w:rPr>
          <w:rStyle w:val="A00"/>
          <w:rFonts w:ascii="Times New Roman" w:hAnsi="Times New Roman" w:cs="Times New Roman"/>
          <w:b/>
          <w:sz w:val="24"/>
          <w:szCs w:val="24"/>
        </w:rPr>
        <w:t xml:space="preserve">των διαμετακομιστικών </w:t>
      </w:r>
      <w:r w:rsidR="00BD7FAB" w:rsidRPr="00BB6337">
        <w:rPr>
          <w:rStyle w:val="A00"/>
          <w:rFonts w:ascii="Times New Roman" w:hAnsi="Times New Roman" w:cs="Times New Roman"/>
          <w:b/>
          <w:sz w:val="24"/>
          <w:szCs w:val="24"/>
        </w:rPr>
        <w:t>αγωγών</w:t>
      </w:r>
      <w:r w:rsidR="00B8741F">
        <w:rPr>
          <w:rStyle w:val="A00"/>
          <w:rFonts w:ascii="Times New Roman" w:hAnsi="Times New Roman" w:cs="Times New Roman"/>
          <w:sz w:val="24"/>
          <w:szCs w:val="24"/>
        </w:rPr>
        <w:t>,</w:t>
      </w:r>
      <w:r w:rsidR="00BD7FAB">
        <w:rPr>
          <w:rStyle w:val="A00"/>
          <w:rFonts w:ascii="Times New Roman" w:hAnsi="Times New Roman" w:cs="Times New Roman"/>
          <w:sz w:val="24"/>
          <w:szCs w:val="24"/>
        </w:rPr>
        <w:t xml:space="preserve"> ως ιδιαίτερα σημαντικό ζήτημα για την </w:t>
      </w:r>
      <w:r w:rsidR="00BD7FAB" w:rsidRPr="00BB6337">
        <w:rPr>
          <w:rStyle w:val="A00"/>
          <w:rFonts w:ascii="Times New Roman" w:hAnsi="Times New Roman" w:cs="Times New Roman"/>
          <w:b/>
          <w:sz w:val="24"/>
          <w:szCs w:val="24"/>
        </w:rPr>
        <w:t>ενεργειακή ασφάλεια</w:t>
      </w:r>
    </w:p>
    <w:p w:rsidR="003D4853" w:rsidRDefault="00BD7FAB" w:rsidP="0001792B">
      <w:pPr>
        <w:spacing w:line="360" w:lineRule="auto"/>
        <w:ind w:left="426" w:hanging="426"/>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  γ) την δημιουργία ενισχυμένων προσδοκιών για </w:t>
      </w:r>
      <w:r w:rsidRPr="00BB6337">
        <w:rPr>
          <w:rStyle w:val="A00"/>
          <w:rFonts w:ascii="Times New Roman" w:hAnsi="Times New Roman" w:cs="Times New Roman"/>
          <w:b/>
          <w:sz w:val="24"/>
          <w:szCs w:val="24"/>
        </w:rPr>
        <w:t xml:space="preserve">αυξημένο </w:t>
      </w:r>
      <w:r w:rsidR="003D4853" w:rsidRPr="00BB6337">
        <w:rPr>
          <w:rStyle w:val="A00"/>
          <w:rFonts w:ascii="Times New Roman" w:hAnsi="Times New Roman" w:cs="Times New Roman"/>
          <w:b/>
          <w:sz w:val="24"/>
          <w:szCs w:val="24"/>
        </w:rPr>
        <w:t xml:space="preserve">ρόλο των Ανανεώσιμων Πηγών Ενέργειας </w:t>
      </w:r>
      <w:r w:rsidR="003D4853">
        <w:rPr>
          <w:rStyle w:val="A00"/>
          <w:rFonts w:ascii="Times New Roman" w:hAnsi="Times New Roman" w:cs="Times New Roman"/>
          <w:sz w:val="24"/>
          <w:szCs w:val="24"/>
        </w:rPr>
        <w:t>στο μέτωπο του περιορισμού των εκπομπών διοξειδίου του άνθρακα για την αντιμετώπιση του μείζονος ζητήματος της κλιματικής αλλαγής, καθοριστικού για την πορεία του πλανήτη τον 21ο αιώνα και</w:t>
      </w:r>
    </w:p>
    <w:p w:rsidR="003D4853" w:rsidRDefault="003D4853" w:rsidP="0001792B">
      <w:pPr>
        <w:spacing w:line="360" w:lineRule="auto"/>
        <w:ind w:left="426" w:hanging="426"/>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   δ)  </w:t>
      </w:r>
      <w:r w:rsidRPr="00BB6337">
        <w:rPr>
          <w:rStyle w:val="A00"/>
          <w:rFonts w:ascii="Times New Roman" w:hAnsi="Times New Roman" w:cs="Times New Roman"/>
          <w:b/>
          <w:sz w:val="24"/>
          <w:szCs w:val="24"/>
        </w:rPr>
        <w:t>την άμβλυνση των ανισοτήτων</w:t>
      </w:r>
      <w:r>
        <w:rPr>
          <w:rStyle w:val="A00"/>
          <w:rFonts w:ascii="Times New Roman" w:hAnsi="Times New Roman" w:cs="Times New Roman"/>
          <w:sz w:val="24"/>
          <w:szCs w:val="24"/>
        </w:rPr>
        <w:t xml:space="preserve"> μεταξύ των διαφόρων περιοχών και κρατών του πλανήτη</w:t>
      </w:r>
      <w:r w:rsidR="00C5745C">
        <w:rPr>
          <w:rStyle w:val="A00"/>
          <w:rFonts w:ascii="Times New Roman" w:hAnsi="Times New Roman" w:cs="Times New Roman"/>
          <w:sz w:val="24"/>
          <w:szCs w:val="24"/>
        </w:rPr>
        <w:t>,</w:t>
      </w:r>
      <w:r>
        <w:rPr>
          <w:rStyle w:val="A00"/>
          <w:rFonts w:ascii="Times New Roman" w:hAnsi="Times New Roman" w:cs="Times New Roman"/>
          <w:sz w:val="24"/>
          <w:szCs w:val="24"/>
        </w:rPr>
        <w:t xml:space="preserve"> όσον αφορά αφ’ ενός μεν την ενεργειακή κατανάλωση και αφ’ ετέρου δε την ενεργειακή ένταση, ανισότητες </w:t>
      </w:r>
      <w:r w:rsidR="00C5745C">
        <w:rPr>
          <w:rStyle w:val="A00"/>
          <w:rFonts w:ascii="Times New Roman" w:hAnsi="Times New Roman" w:cs="Times New Roman"/>
          <w:sz w:val="24"/>
          <w:szCs w:val="24"/>
        </w:rPr>
        <w:t xml:space="preserve">που </w:t>
      </w:r>
      <w:r>
        <w:rPr>
          <w:rStyle w:val="A00"/>
          <w:rFonts w:ascii="Times New Roman" w:hAnsi="Times New Roman" w:cs="Times New Roman"/>
          <w:sz w:val="24"/>
          <w:szCs w:val="24"/>
        </w:rPr>
        <w:t>όμως παραμένουν ιδιαίτερα σημαντικές με καθοριστική σημασία για τις περαιτέρω εξελίξεις.</w:t>
      </w:r>
    </w:p>
    <w:p w:rsidR="003F31F7" w:rsidRDefault="006C2DF9" w:rsidP="006C2DF9">
      <w:pPr>
        <w:spacing w:line="360" w:lineRule="auto"/>
        <w:ind w:left="426" w:hanging="284"/>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ε) </w:t>
      </w:r>
      <w:r w:rsidRPr="00BB6337">
        <w:rPr>
          <w:rStyle w:val="A00"/>
          <w:rFonts w:ascii="Times New Roman" w:hAnsi="Times New Roman" w:cs="Times New Roman"/>
          <w:b/>
          <w:sz w:val="24"/>
          <w:szCs w:val="24"/>
        </w:rPr>
        <w:t>τον μετασχηματισμό της δομής της παγκόσμιας ακαθάριστης κατανάλωσης ενέργειας</w:t>
      </w:r>
      <w:r w:rsidR="00AB39BB">
        <w:rPr>
          <w:rStyle w:val="A00"/>
          <w:rFonts w:ascii="Times New Roman" w:hAnsi="Times New Roman" w:cs="Times New Roman"/>
          <w:b/>
          <w:sz w:val="24"/>
          <w:szCs w:val="24"/>
        </w:rPr>
        <w:t>,</w:t>
      </w:r>
      <w:r w:rsidR="005C1E02">
        <w:rPr>
          <w:rStyle w:val="A00"/>
          <w:rFonts w:ascii="Times New Roman" w:hAnsi="Times New Roman" w:cs="Times New Roman"/>
          <w:sz w:val="24"/>
          <w:szCs w:val="24"/>
        </w:rPr>
        <w:t xml:space="preserve">η οποία </w:t>
      </w:r>
      <w:r w:rsidR="003F31F7">
        <w:rPr>
          <w:rStyle w:val="A00"/>
          <w:rFonts w:ascii="Times New Roman" w:hAnsi="Times New Roman" w:cs="Times New Roman"/>
          <w:sz w:val="24"/>
          <w:szCs w:val="24"/>
        </w:rPr>
        <w:t xml:space="preserve">το 2015 </w:t>
      </w:r>
      <w:r w:rsidR="005C1E02">
        <w:rPr>
          <w:rStyle w:val="A00"/>
          <w:rFonts w:ascii="Times New Roman" w:hAnsi="Times New Roman" w:cs="Times New Roman"/>
          <w:sz w:val="24"/>
          <w:szCs w:val="24"/>
        </w:rPr>
        <w:t xml:space="preserve">είχε </w:t>
      </w:r>
      <w:r w:rsidR="003F31F7">
        <w:rPr>
          <w:rStyle w:val="A00"/>
          <w:rFonts w:ascii="Times New Roman" w:hAnsi="Times New Roman" w:cs="Times New Roman"/>
          <w:sz w:val="24"/>
          <w:szCs w:val="24"/>
        </w:rPr>
        <w:t>ως εξής</w:t>
      </w:r>
      <w:r w:rsidR="005C1E02">
        <w:rPr>
          <w:rStyle w:val="a7"/>
          <w:rFonts w:ascii="Times New Roman" w:hAnsi="Times New Roman" w:cs="Times New Roman"/>
          <w:color w:val="000000"/>
          <w:sz w:val="24"/>
          <w:szCs w:val="24"/>
        </w:rPr>
        <w:footnoteReference w:id="3"/>
      </w:r>
      <w:r w:rsidR="003F31F7">
        <w:rPr>
          <w:rStyle w:val="A00"/>
          <w:rFonts w:ascii="Times New Roman" w:hAnsi="Times New Roman" w:cs="Times New Roman"/>
          <w:sz w:val="24"/>
          <w:szCs w:val="24"/>
        </w:rPr>
        <w:t>:</w:t>
      </w:r>
    </w:p>
    <w:p w:rsidR="0001792B" w:rsidRPr="003F31F7" w:rsidRDefault="00710153" w:rsidP="003F31F7">
      <w:pPr>
        <w:pStyle w:val="a3"/>
        <w:numPr>
          <w:ilvl w:val="0"/>
          <w:numId w:val="17"/>
        </w:numPr>
        <w:spacing w:line="360" w:lineRule="auto"/>
        <w:jc w:val="both"/>
        <w:rPr>
          <w:rStyle w:val="A00"/>
          <w:rFonts w:ascii="Times New Roman" w:hAnsi="Times New Roman" w:cs="Times New Roman"/>
          <w:sz w:val="24"/>
          <w:szCs w:val="24"/>
        </w:rPr>
      </w:pPr>
      <w:r w:rsidRPr="003F31F7">
        <w:rPr>
          <w:rStyle w:val="A00"/>
          <w:rFonts w:ascii="Times New Roman" w:hAnsi="Times New Roman" w:cs="Times New Roman"/>
          <w:sz w:val="24"/>
          <w:szCs w:val="24"/>
        </w:rPr>
        <w:lastRenderedPageBreak/>
        <w:t>Ενέργεια από ορυκτά καύ</w:t>
      </w:r>
      <w:r w:rsidR="00AB39BB">
        <w:rPr>
          <w:rStyle w:val="A00"/>
          <w:rFonts w:ascii="Times New Roman" w:hAnsi="Times New Roman" w:cs="Times New Roman"/>
          <w:sz w:val="24"/>
          <w:szCs w:val="24"/>
        </w:rPr>
        <w:t>σιμα με ποσοστό συμμετοχής 78,4</w:t>
      </w:r>
      <w:r w:rsidRPr="003F31F7">
        <w:rPr>
          <w:rStyle w:val="A00"/>
          <w:rFonts w:ascii="Times New Roman" w:hAnsi="Times New Roman" w:cs="Times New Roman"/>
          <w:sz w:val="24"/>
          <w:szCs w:val="24"/>
        </w:rPr>
        <w:t>% (πετρέλαιο, φυσικό αέριο, άνθρακας)</w:t>
      </w:r>
    </w:p>
    <w:p w:rsidR="00710153" w:rsidRPr="003F31F7" w:rsidRDefault="00710153" w:rsidP="003F31F7">
      <w:pPr>
        <w:pStyle w:val="a3"/>
        <w:numPr>
          <w:ilvl w:val="0"/>
          <w:numId w:val="17"/>
        </w:numPr>
        <w:spacing w:line="360" w:lineRule="auto"/>
        <w:jc w:val="both"/>
        <w:rPr>
          <w:rStyle w:val="A00"/>
          <w:rFonts w:ascii="Times New Roman" w:hAnsi="Times New Roman" w:cs="Times New Roman"/>
          <w:sz w:val="24"/>
          <w:szCs w:val="24"/>
        </w:rPr>
      </w:pPr>
      <w:r w:rsidRPr="003F31F7">
        <w:rPr>
          <w:rStyle w:val="A00"/>
          <w:rFonts w:ascii="Times New Roman" w:hAnsi="Times New Roman" w:cs="Times New Roman"/>
          <w:sz w:val="24"/>
          <w:szCs w:val="24"/>
        </w:rPr>
        <w:t xml:space="preserve">πυρηνική ενέργεια με </w:t>
      </w:r>
      <w:r w:rsidR="000D6C10" w:rsidRPr="003F31F7">
        <w:rPr>
          <w:rStyle w:val="A00"/>
          <w:rFonts w:ascii="Times New Roman" w:hAnsi="Times New Roman" w:cs="Times New Roman"/>
          <w:sz w:val="24"/>
          <w:szCs w:val="24"/>
        </w:rPr>
        <w:t>π</w:t>
      </w:r>
      <w:r w:rsidR="00AB39BB">
        <w:rPr>
          <w:rStyle w:val="A00"/>
          <w:rFonts w:ascii="Times New Roman" w:hAnsi="Times New Roman" w:cs="Times New Roman"/>
          <w:sz w:val="24"/>
          <w:szCs w:val="24"/>
        </w:rPr>
        <w:t>οσοστό 2,3</w:t>
      </w:r>
      <w:r w:rsidRPr="003F31F7">
        <w:rPr>
          <w:rStyle w:val="A00"/>
          <w:rFonts w:ascii="Times New Roman" w:hAnsi="Times New Roman" w:cs="Times New Roman"/>
          <w:sz w:val="24"/>
          <w:szCs w:val="24"/>
        </w:rPr>
        <w:t xml:space="preserve">% </w:t>
      </w:r>
      <w:r w:rsidR="000D6C10" w:rsidRPr="003F31F7">
        <w:rPr>
          <w:rStyle w:val="A00"/>
          <w:rFonts w:ascii="Times New Roman" w:hAnsi="Times New Roman" w:cs="Times New Roman"/>
          <w:sz w:val="24"/>
          <w:szCs w:val="24"/>
        </w:rPr>
        <w:t>κ</w:t>
      </w:r>
      <w:r w:rsidRPr="003F31F7">
        <w:rPr>
          <w:rStyle w:val="A00"/>
          <w:rFonts w:ascii="Times New Roman" w:hAnsi="Times New Roman" w:cs="Times New Roman"/>
          <w:sz w:val="24"/>
          <w:szCs w:val="24"/>
        </w:rPr>
        <w:t>αι</w:t>
      </w:r>
    </w:p>
    <w:p w:rsidR="00710153" w:rsidRPr="003F31F7" w:rsidRDefault="00710153" w:rsidP="003F31F7">
      <w:pPr>
        <w:pStyle w:val="a3"/>
        <w:numPr>
          <w:ilvl w:val="0"/>
          <w:numId w:val="17"/>
        </w:numPr>
        <w:spacing w:line="360" w:lineRule="auto"/>
        <w:jc w:val="both"/>
        <w:rPr>
          <w:rStyle w:val="A00"/>
          <w:rFonts w:ascii="Times New Roman" w:hAnsi="Times New Roman" w:cs="Times New Roman"/>
          <w:sz w:val="24"/>
          <w:szCs w:val="24"/>
        </w:rPr>
      </w:pPr>
      <w:r w:rsidRPr="003F31F7">
        <w:rPr>
          <w:rStyle w:val="A00"/>
          <w:rFonts w:ascii="Times New Roman" w:hAnsi="Times New Roman" w:cs="Times New Roman"/>
          <w:sz w:val="24"/>
          <w:szCs w:val="24"/>
        </w:rPr>
        <w:t>αναν</w:t>
      </w:r>
      <w:r w:rsidR="00AB39BB">
        <w:rPr>
          <w:rStyle w:val="A00"/>
          <w:rFonts w:ascii="Times New Roman" w:hAnsi="Times New Roman" w:cs="Times New Roman"/>
          <w:sz w:val="24"/>
          <w:szCs w:val="24"/>
        </w:rPr>
        <w:t>εώσιμη ενέργεια με ποσοστό 19,3% (παραδοσιακή βιομάζα 9,1%, βιοκαύσιμα 0,8</w:t>
      </w:r>
      <w:r w:rsidRPr="003F31F7">
        <w:rPr>
          <w:rStyle w:val="A00"/>
          <w:rFonts w:ascii="Times New Roman" w:hAnsi="Times New Roman" w:cs="Times New Roman"/>
          <w:sz w:val="24"/>
          <w:szCs w:val="24"/>
        </w:rPr>
        <w:t xml:space="preserve">%, ΑΠΕ παραγωγής </w:t>
      </w:r>
      <w:r w:rsidR="00AB39BB">
        <w:rPr>
          <w:rStyle w:val="A00"/>
          <w:rFonts w:ascii="Times New Roman" w:hAnsi="Times New Roman" w:cs="Times New Roman"/>
          <w:sz w:val="24"/>
          <w:szCs w:val="24"/>
        </w:rPr>
        <w:t>ηλεκτρικής ενέργειας 1,6</w:t>
      </w:r>
      <w:r w:rsidRPr="003F31F7">
        <w:rPr>
          <w:rStyle w:val="A00"/>
          <w:rFonts w:ascii="Times New Roman" w:hAnsi="Times New Roman" w:cs="Times New Roman"/>
          <w:sz w:val="24"/>
          <w:szCs w:val="24"/>
        </w:rPr>
        <w:t xml:space="preserve">%, ΑΠΕ </w:t>
      </w:r>
      <w:r w:rsidR="00AB39BB">
        <w:rPr>
          <w:rStyle w:val="A00"/>
          <w:rFonts w:ascii="Times New Roman" w:hAnsi="Times New Roman" w:cs="Times New Roman"/>
          <w:sz w:val="24"/>
          <w:szCs w:val="24"/>
        </w:rPr>
        <w:t>για θέρμανση και ζεστό νερό 4,2</w:t>
      </w:r>
      <w:r w:rsidRPr="003F31F7">
        <w:rPr>
          <w:rStyle w:val="A00"/>
          <w:rFonts w:ascii="Times New Roman" w:hAnsi="Times New Roman" w:cs="Times New Roman"/>
          <w:sz w:val="24"/>
          <w:szCs w:val="24"/>
        </w:rPr>
        <w:t>%</w:t>
      </w:r>
      <w:r w:rsidR="00AB39BB">
        <w:rPr>
          <w:rStyle w:val="A00"/>
          <w:rFonts w:ascii="Times New Roman" w:hAnsi="Times New Roman" w:cs="Times New Roman"/>
          <w:sz w:val="24"/>
          <w:szCs w:val="24"/>
        </w:rPr>
        <w:t xml:space="preserve"> και υδροηλεκτρική ενέργεια 3,6</w:t>
      </w:r>
      <w:r w:rsidRPr="003F31F7">
        <w:rPr>
          <w:rStyle w:val="A00"/>
          <w:rFonts w:ascii="Times New Roman" w:hAnsi="Times New Roman" w:cs="Times New Roman"/>
          <w:sz w:val="24"/>
          <w:szCs w:val="24"/>
        </w:rPr>
        <w:t>%).</w:t>
      </w:r>
    </w:p>
    <w:p w:rsidR="006A10E5" w:rsidRDefault="003F31F7" w:rsidP="00C533D9">
      <w:pPr>
        <w:spacing w:line="360" w:lineRule="auto"/>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Συνακόλουθα των ανωτέρω, </w:t>
      </w:r>
      <w:r w:rsidR="00710153">
        <w:rPr>
          <w:rStyle w:val="A00"/>
          <w:rFonts w:ascii="Times New Roman" w:hAnsi="Times New Roman" w:cs="Times New Roman"/>
          <w:sz w:val="24"/>
          <w:szCs w:val="24"/>
        </w:rPr>
        <w:t>στις αρχές της δεύτερης δεκαετίας του 21</w:t>
      </w:r>
      <w:r w:rsidR="0057214E">
        <w:rPr>
          <w:rStyle w:val="A00"/>
          <w:rFonts w:ascii="Times New Roman" w:hAnsi="Times New Roman" w:cs="Times New Roman"/>
          <w:sz w:val="24"/>
          <w:szCs w:val="24"/>
          <w:vertAlign w:val="superscript"/>
        </w:rPr>
        <w:t>ου</w:t>
      </w:r>
      <w:r w:rsidR="00710153">
        <w:rPr>
          <w:rStyle w:val="A00"/>
          <w:rFonts w:ascii="Times New Roman" w:hAnsi="Times New Roman" w:cs="Times New Roman"/>
          <w:sz w:val="24"/>
          <w:szCs w:val="24"/>
        </w:rPr>
        <w:t xml:space="preserve">αιώνα η παγκόσμια </w:t>
      </w:r>
      <w:r w:rsidR="00C533D9">
        <w:rPr>
          <w:rStyle w:val="A00"/>
          <w:rFonts w:ascii="Times New Roman" w:hAnsi="Times New Roman" w:cs="Times New Roman"/>
          <w:sz w:val="24"/>
          <w:szCs w:val="24"/>
        </w:rPr>
        <w:t>κοινότητα έχει να αντιμετωπίσει</w:t>
      </w:r>
      <w:r w:rsidR="00710153">
        <w:rPr>
          <w:rStyle w:val="A00"/>
          <w:rFonts w:ascii="Times New Roman" w:hAnsi="Times New Roman" w:cs="Times New Roman"/>
          <w:sz w:val="24"/>
          <w:szCs w:val="24"/>
        </w:rPr>
        <w:t>:</w:t>
      </w:r>
    </w:p>
    <w:p w:rsidR="00710153" w:rsidRDefault="006A10E5" w:rsidP="006A10E5">
      <w:pPr>
        <w:spacing w:line="360" w:lineRule="auto"/>
        <w:ind w:left="709" w:hanging="283"/>
        <w:jc w:val="both"/>
        <w:rPr>
          <w:rStyle w:val="A00"/>
          <w:rFonts w:ascii="Times New Roman" w:hAnsi="Times New Roman" w:cs="Times New Roman"/>
          <w:sz w:val="24"/>
          <w:szCs w:val="24"/>
        </w:rPr>
      </w:pPr>
      <w:r>
        <w:rPr>
          <w:rStyle w:val="A00"/>
          <w:rFonts w:ascii="Times New Roman" w:hAnsi="Times New Roman" w:cs="Times New Roman"/>
          <w:sz w:val="24"/>
          <w:szCs w:val="24"/>
        </w:rPr>
        <w:t>α) ένα άνισο χωρικά τοπίο με διαφορετικές αναπτυξιακές επιδιώξεις και ενεργειακές ανάγκες,</w:t>
      </w:r>
    </w:p>
    <w:p w:rsidR="006A10E5" w:rsidRDefault="006A10E5" w:rsidP="006A10E5">
      <w:pPr>
        <w:spacing w:line="360" w:lineRule="auto"/>
        <w:ind w:left="709" w:hanging="283"/>
        <w:jc w:val="both"/>
        <w:rPr>
          <w:rStyle w:val="A00"/>
          <w:rFonts w:ascii="Times New Roman" w:hAnsi="Times New Roman" w:cs="Times New Roman"/>
          <w:sz w:val="24"/>
          <w:szCs w:val="24"/>
        </w:rPr>
      </w:pPr>
      <w:r>
        <w:rPr>
          <w:rStyle w:val="A00"/>
          <w:rFonts w:ascii="Times New Roman" w:hAnsi="Times New Roman" w:cs="Times New Roman"/>
          <w:sz w:val="24"/>
          <w:szCs w:val="24"/>
        </w:rPr>
        <w:t>β) το μείζον ζήτημα της κλιματικής αλλαγής και ειδικότερα τον περιορισμό των εκπομπών διοξειδίου του άνθρακα</w:t>
      </w:r>
    </w:p>
    <w:p w:rsidR="006A10E5" w:rsidRDefault="006A10E5" w:rsidP="006A10E5">
      <w:pPr>
        <w:spacing w:line="360" w:lineRule="auto"/>
        <w:ind w:left="709" w:hanging="283"/>
        <w:jc w:val="both"/>
        <w:rPr>
          <w:rStyle w:val="A00"/>
          <w:rFonts w:ascii="Times New Roman" w:hAnsi="Times New Roman" w:cs="Times New Roman"/>
          <w:sz w:val="24"/>
          <w:szCs w:val="24"/>
        </w:rPr>
      </w:pPr>
      <w:r>
        <w:rPr>
          <w:rStyle w:val="A00"/>
          <w:rFonts w:ascii="Times New Roman" w:hAnsi="Times New Roman" w:cs="Times New Roman"/>
          <w:sz w:val="24"/>
          <w:szCs w:val="24"/>
        </w:rPr>
        <w:t>γ) τα σύγχρονα ζητήματα ενεργειακής ασφάλειας</w:t>
      </w:r>
      <w:r w:rsidR="0057214E">
        <w:rPr>
          <w:rStyle w:val="A00"/>
          <w:rFonts w:ascii="Times New Roman" w:hAnsi="Times New Roman" w:cs="Times New Roman"/>
          <w:sz w:val="24"/>
          <w:szCs w:val="24"/>
        </w:rPr>
        <w:t>,</w:t>
      </w:r>
      <w:r>
        <w:rPr>
          <w:rStyle w:val="A00"/>
          <w:rFonts w:ascii="Times New Roman" w:hAnsi="Times New Roman" w:cs="Times New Roman"/>
          <w:sz w:val="24"/>
          <w:szCs w:val="24"/>
        </w:rPr>
        <w:t xml:space="preserve"> που πέραν του πετρελαίου σημαντικό ρόλο πλέον παίζει το Φυσικό Αέριο</w:t>
      </w:r>
    </w:p>
    <w:p w:rsidR="006A10E5" w:rsidRDefault="006A10E5" w:rsidP="006A10E5">
      <w:pPr>
        <w:spacing w:line="360" w:lineRule="auto"/>
        <w:ind w:left="709" w:hanging="283"/>
        <w:jc w:val="both"/>
        <w:rPr>
          <w:rStyle w:val="A00"/>
          <w:rFonts w:ascii="Times New Roman" w:hAnsi="Times New Roman" w:cs="Times New Roman"/>
          <w:sz w:val="24"/>
          <w:szCs w:val="24"/>
        </w:rPr>
      </w:pPr>
      <w:r>
        <w:rPr>
          <w:rStyle w:val="A00"/>
          <w:rFonts w:ascii="Times New Roman" w:hAnsi="Times New Roman" w:cs="Times New Roman"/>
          <w:sz w:val="24"/>
          <w:szCs w:val="24"/>
        </w:rPr>
        <w:t>δ) των διασυνδέσεων των ενεργειακών συστημάτων που αναδεικνύουν τους ρυθμιστικούς κανόνες της αγοράς σε σημαντικό παράγοντα και</w:t>
      </w:r>
    </w:p>
    <w:p w:rsidR="006A10E5" w:rsidRDefault="006A10E5" w:rsidP="006A10E5">
      <w:pPr>
        <w:spacing w:line="360" w:lineRule="auto"/>
        <w:ind w:left="709" w:hanging="283"/>
        <w:jc w:val="both"/>
        <w:rPr>
          <w:rStyle w:val="A00"/>
          <w:rFonts w:ascii="Times New Roman" w:hAnsi="Times New Roman" w:cs="Times New Roman"/>
          <w:sz w:val="24"/>
          <w:szCs w:val="24"/>
        </w:rPr>
      </w:pPr>
      <w:r>
        <w:rPr>
          <w:rStyle w:val="A00"/>
          <w:rFonts w:ascii="Times New Roman" w:hAnsi="Times New Roman" w:cs="Times New Roman"/>
          <w:sz w:val="24"/>
          <w:szCs w:val="24"/>
        </w:rPr>
        <w:t>ε) τη</w:t>
      </w:r>
      <w:r w:rsidR="004412C8">
        <w:rPr>
          <w:rStyle w:val="A00"/>
          <w:rFonts w:ascii="Times New Roman" w:hAnsi="Times New Roman" w:cs="Times New Roman"/>
          <w:sz w:val="24"/>
          <w:szCs w:val="24"/>
        </w:rPr>
        <w:t>ς ουσιαστικής ανάπτυξης των ΑΠΕ</w:t>
      </w:r>
      <w:r>
        <w:rPr>
          <w:rStyle w:val="A00"/>
          <w:rFonts w:ascii="Times New Roman" w:hAnsi="Times New Roman" w:cs="Times New Roman"/>
          <w:sz w:val="24"/>
          <w:szCs w:val="24"/>
        </w:rPr>
        <w:t>, πέραν των παραδοσιακών χρ</w:t>
      </w:r>
      <w:r w:rsidR="00DA6804">
        <w:rPr>
          <w:rStyle w:val="A00"/>
          <w:rFonts w:ascii="Times New Roman" w:hAnsi="Times New Roman" w:cs="Times New Roman"/>
          <w:sz w:val="24"/>
          <w:szCs w:val="24"/>
        </w:rPr>
        <w:t>ήσεων.</w:t>
      </w:r>
    </w:p>
    <w:p w:rsidR="00DA6804" w:rsidRDefault="00DA6804" w:rsidP="00DA6804">
      <w:pPr>
        <w:spacing w:line="360" w:lineRule="auto"/>
        <w:jc w:val="both"/>
        <w:rPr>
          <w:rStyle w:val="A00"/>
          <w:rFonts w:ascii="Times New Roman" w:hAnsi="Times New Roman" w:cs="Times New Roman"/>
          <w:sz w:val="24"/>
          <w:szCs w:val="24"/>
        </w:rPr>
      </w:pPr>
    </w:p>
    <w:p w:rsidR="005C0774" w:rsidRPr="005C0774" w:rsidRDefault="005C0774" w:rsidP="005C0774">
      <w:pPr>
        <w:spacing w:line="360" w:lineRule="auto"/>
        <w:ind w:left="426" w:hanging="426"/>
        <w:jc w:val="both"/>
        <w:rPr>
          <w:rStyle w:val="A00"/>
          <w:rFonts w:ascii="Times New Roman" w:hAnsi="Times New Roman" w:cs="Times New Roman"/>
          <w:b/>
          <w:sz w:val="24"/>
          <w:szCs w:val="24"/>
        </w:rPr>
      </w:pPr>
      <w:r w:rsidRPr="00EC5032">
        <w:rPr>
          <w:rStyle w:val="A00"/>
          <w:rFonts w:ascii="Times New Roman" w:hAnsi="Times New Roman" w:cs="Times New Roman"/>
          <w:b/>
          <w:sz w:val="24"/>
          <w:szCs w:val="24"/>
        </w:rPr>
        <w:t>1.</w:t>
      </w:r>
      <w:r>
        <w:rPr>
          <w:rStyle w:val="A00"/>
          <w:rFonts w:ascii="Times New Roman" w:hAnsi="Times New Roman" w:cs="Times New Roman"/>
          <w:b/>
          <w:sz w:val="24"/>
          <w:szCs w:val="24"/>
        </w:rPr>
        <w:t xml:space="preserve">2Η μετάβαση προς ένα παγκόσμιο ενεργειακό σύστημα μειούμενων εκπομπών </w:t>
      </w:r>
      <w:r>
        <w:rPr>
          <w:rStyle w:val="A00"/>
          <w:rFonts w:ascii="Times New Roman" w:hAnsi="Times New Roman" w:cs="Times New Roman"/>
          <w:b/>
          <w:sz w:val="24"/>
          <w:szCs w:val="24"/>
          <w:lang w:val="en-US"/>
        </w:rPr>
        <w:t>CO</w:t>
      </w:r>
      <w:r w:rsidRPr="005C0774">
        <w:rPr>
          <w:rStyle w:val="A00"/>
          <w:rFonts w:ascii="Times New Roman" w:hAnsi="Times New Roman" w:cs="Times New Roman"/>
          <w:b/>
          <w:sz w:val="24"/>
          <w:szCs w:val="24"/>
          <w:vertAlign w:val="subscript"/>
        </w:rPr>
        <w:t>2</w:t>
      </w:r>
    </w:p>
    <w:p w:rsidR="00DA6804" w:rsidRDefault="00DA6804" w:rsidP="00DA6804">
      <w:pPr>
        <w:spacing w:line="360" w:lineRule="auto"/>
        <w:jc w:val="both"/>
        <w:rPr>
          <w:rStyle w:val="A00"/>
          <w:rFonts w:ascii="Times New Roman" w:hAnsi="Times New Roman" w:cs="Times New Roman"/>
          <w:sz w:val="24"/>
          <w:szCs w:val="24"/>
        </w:rPr>
      </w:pPr>
      <w:r>
        <w:rPr>
          <w:rStyle w:val="A00"/>
          <w:rFonts w:ascii="Times New Roman" w:hAnsi="Times New Roman" w:cs="Times New Roman"/>
          <w:sz w:val="24"/>
          <w:szCs w:val="24"/>
        </w:rPr>
        <w:t>Ο πολυπαραμετρικός και πολυδιάστατος χαρακτήρας του παγκόσμιου ενεργειακού συστήματος και ο καθοριστικός του ρόλος για την ανάπτυξη και αντιμετώπιση της κλιματικής αλλαγής, είναι προφανές ότι απαιτεί την ευρύτερη δυνατή παγκόσμια συναίνεση</w:t>
      </w:r>
      <w:r w:rsidR="003F31F7">
        <w:rPr>
          <w:rStyle w:val="A00"/>
          <w:rFonts w:ascii="Times New Roman" w:hAnsi="Times New Roman" w:cs="Times New Roman"/>
          <w:sz w:val="24"/>
          <w:szCs w:val="24"/>
        </w:rPr>
        <w:t>, όπως αυτή εκφράσθηκε το Δεκέμβριο του 2015 στη Διάσκεψη του Παρισιού για το κλίμα (</w:t>
      </w:r>
      <w:r w:rsidR="003F31F7">
        <w:rPr>
          <w:rStyle w:val="A00"/>
          <w:rFonts w:ascii="Times New Roman" w:hAnsi="Times New Roman" w:cs="Times New Roman"/>
          <w:sz w:val="24"/>
          <w:szCs w:val="24"/>
          <w:lang w:val="en-US"/>
        </w:rPr>
        <w:t>COP</w:t>
      </w:r>
      <w:r w:rsidR="003F31F7" w:rsidRPr="003F31F7">
        <w:rPr>
          <w:rStyle w:val="A00"/>
          <w:rFonts w:ascii="Times New Roman" w:hAnsi="Times New Roman" w:cs="Times New Roman"/>
          <w:sz w:val="24"/>
          <w:szCs w:val="24"/>
        </w:rPr>
        <w:t>21</w:t>
      </w:r>
      <w:r w:rsidR="005C1E02" w:rsidRPr="005C1E02">
        <w:rPr>
          <w:rStyle w:val="A00"/>
          <w:rFonts w:ascii="Times New Roman" w:hAnsi="Times New Roman" w:cs="Times New Roman"/>
          <w:sz w:val="24"/>
          <w:szCs w:val="24"/>
        </w:rPr>
        <w:t xml:space="preserve">). </w:t>
      </w:r>
      <w:r w:rsidR="005C1E02">
        <w:rPr>
          <w:rStyle w:val="A00"/>
          <w:rFonts w:ascii="Times New Roman" w:hAnsi="Times New Roman" w:cs="Times New Roman"/>
          <w:sz w:val="24"/>
          <w:szCs w:val="24"/>
        </w:rPr>
        <w:t>Όπως είναι γνωστό</w:t>
      </w:r>
      <w:r w:rsidR="004412C8">
        <w:rPr>
          <w:rStyle w:val="A00"/>
          <w:rFonts w:ascii="Times New Roman" w:hAnsi="Times New Roman" w:cs="Times New Roman"/>
          <w:sz w:val="24"/>
          <w:szCs w:val="24"/>
        </w:rPr>
        <w:t>,</w:t>
      </w:r>
      <w:r w:rsidR="005C1E02">
        <w:rPr>
          <w:rStyle w:val="A00"/>
          <w:rFonts w:ascii="Times New Roman" w:hAnsi="Times New Roman" w:cs="Times New Roman"/>
          <w:sz w:val="24"/>
          <w:szCs w:val="24"/>
        </w:rPr>
        <w:t xml:space="preserve"> στη Διάσκεψη </w:t>
      </w:r>
      <w:r w:rsidR="003F31F7">
        <w:rPr>
          <w:rStyle w:val="A00"/>
          <w:rFonts w:ascii="Times New Roman" w:hAnsi="Times New Roman" w:cs="Times New Roman"/>
          <w:sz w:val="24"/>
          <w:szCs w:val="24"/>
        </w:rPr>
        <w:t>τέθηκε το όριο της αύξησης της θερμοκρασίας του πλανήτη κατά 1,5</w:t>
      </w:r>
      <w:r w:rsidR="003F31F7">
        <w:rPr>
          <w:rStyle w:val="A00"/>
          <w:rFonts w:ascii="Times New Roman" w:hAnsi="Times New Roman" w:cs="Times New Roman"/>
          <w:sz w:val="24"/>
          <w:szCs w:val="24"/>
          <w:vertAlign w:val="superscript"/>
        </w:rPr>
        <w:t>ο</w:t>
      </w:r>
      <w:r w:rsidR="004412C8">
        <w:rPr>
          <w:rStyle w:val="A00"/>
          <w:rFonts w:ascii="Times New Roman" w:hAnsi="Times New Roman" w:cs="Times New Roman"/>
          <w:sz w:val="24"/>
          <w:szCs w:val="24"/>
          <w:lang w:val="en-US"/>
        </w:rPr>
        <w:t>C</w:t>
      </w:r>
      <w:r w:rsidR="004412C8">
        <w:rPr>
          <w:rStyle w:val="A00"/>
          <w:rFonts w:ascii="Times New Roman" w:hAnsi="Times New Roman" w:cs="Times New Roman"/>
          <w:sz w:val="24"/>
          <w:szCs w:val="24"/>
        </w:rPr>
        <w:t>– 2</w:t>
      </w:r>
      <w:r w:rsidR="003F31F7">
        <w:rPr>
          <w:rStyle w:val="A00"/>
          <w:rFonts w:ascii="Times New Roman" w:hAnsi="Times New Roman" w:cs="Times New Roman"/>
          <w:sz w:val="24"/>
          <w:szCs w:val="24"/>
          <w:vertAlign w:val="superscript"/>
        </w:rPr>
        <w:t>ο</w:t>
      </w:r>
      <w:r w:rsidR="003F31F7">
        <w:rPr>
          <w:rStyle w:val="A00"/>
          <w:rFonts w:ascii="Times New Roman" w:hAnsi="Times New Roman" w:cs="Times New Roman"/>
          <w:sz w:val="24"/>
          <w:szCs w:val="24"/>
          <w:lang w:val="en-US"/>
        </w:rPr>
        <w:t>C</w:t>
      </w:r>
      <w:r w:rsidR="003F31F7">
        <w:rPr>
          <w:rStyle w:val="A00"/>
          <w:rFonts w:ascii="Times New Roman" w:hAnsi="Times New Roman" w:cs="Times New Roman"/>
          <w:sz w:val="24"/>
          <w:szCs w:val="24"/>
        </w:rPr>
        <w:t xml:space="preserve">σε σχέση με τα προβιομηχανικά επίπεδα, στόχος που προϋποθέτει </w:t>
      </w:r>
      <w:r w:rsidR="005C1E02">
        <w:rPr>
          <w:rStyle w:val="A00"/>
          <w:rFonts w:ascii="Times New Roman" w:hAnsi="Times New Roman" w:cs="Times New Roman"/>
          <w:sz w:val="24"/>
          <w:szCs w:val="24"/>
        </w:rPr>
        <w:t xml:space="preserve">σημαντική </w:t>
      </w:r>
      <w:r w:rsidR="003F31F7">
        <w:rPr>
          <w:rStyle w:val="A00"/>
          <w:rFonts w:ascii="Times New Roman" w:hAnsi="Times New Roman" w:cs="Times New Roman"/>
          <w:sz w:val="24"/>
          <w:szCs w:val="24"/>
        </w:rPr>
        <w:t xml:space="preserve">μείωση των παγκόσμιων ενεργειακών εκπομπών </w:t>
      </w:r>
      <w:r w:rsidR="003F31F7">
        <w:rPr>
          <w:rStyle w:val="A00"/>
          <w:rFonts w:ascii="Times New Roman" w:hAnsi="Times New Roman" w:cs="Times New Roman"/>
          <w:sz w:val="24"/>
          <w:szCs w:val="24"/>
          <w:lang w:val="en-US"/>
        </w:rPr>
        <w:t>CO</w:t>
      </w:r>
      <w:r w:rsidR="003F31F7" w:rsidRPr="003F31F7">
        <w:rPr>
          <w:rStyle w:val="A00"/>
          <w:rFonts w:ascii="Times New Roman" w:hAnsi="Times New Roman" w:cs="Times New Roman"/>
          <w:sz w:val="24"/>
          <w:szCs w:val="24"/>
          <w:vertAlign w:val="subscript"/>
        </w:rPr>
        <w:t>2</w:t>
      </w:r>
      <w:r w:rsidR="005C1E02">
        <w:rPr>
          <w:rStyle w:val="A00"/>
          <w:rFonts w:ascii="Times New Roman" w:hAnsi="Times New Roman" w:cs="Times New Roman"/>
          <w:sz w:val="24"/>
          <w:szCs w:val="24"/>
        </w:rPr>
        <w:t xml:space="preserve">κάτω </w:t>
      </w:r>
      <w:r w:rsidR="003F31F7">
        <w:rPr>
          <w:rStyle w:val="A00"/>
          <w:rFonts w:ascii="Times New Roman" w:hAnsi="Times New Roman" w:cs="Times New Roman"/>
          <w:sz w:val="24"/>
          <w:szCs w:val="24"/>
        </w:rPr>
        <w:t>από τα ήδη απαγορευτικά επίπεδα των 32 γιγατόνων του 201</w:t>
      </w:r>
      <w:r w:rsidR="005C1E02">
        <w:rPr>
          <w:rStyle w:val="A00"/>
          <w:rFonts w:ascii="Times New Roman" w:hAnsi="Times New Roman" w:cs="Times New Roman"/>
          <w:sz w:val="24"/>
          <w:szCs w:val="24"/>
        </w:rPr>
        <w:t>5, για την επίτευξη του οποίου η ΕΕ προτείνει μείωση των εκπομπών κατά τουλά</w:t>
      </w:r>
      <w:r w:rsidR="00441407">
        <w:rPr>
          <w:rStyle w:val="A00"/>
          <w:rFonts w:ascii="Times New Roman" w:hAnsi="Times New Roman" w:cs="Times New Roman"/>
          <w:sz w:val="24"/>
          <w:szCs w:val="24"/>
        </w:rPr>
        <w:t>χιστον 40</w:t>
      </w:r>
      <w:r w:rsidR="005C1E02">
        <w:rPr>
          <w:rStyle w:val="A00"/>
          <w:rFonts w:ascii="Times New Roman" w:hAnsi="Times New Roman" w:cs="Times New Roman"/>
          <w:sz w:val="24"/>
          <w:szCs w:val="24"/>
        </w:rPr>
        <w:t>% έως το 2030.</w:t>
      </w:r>
    </w:p>
    <w:p w:rsidR="003F31F7" w:rsidRPr="00E17051" w:rsidRDefault="00441407" w:rsidP="003F31F7">
      <w:pPr>
        <w:spacing w:line="360" w:lineRule="auto"/>
        <w:jc w:val="both"/>
        <w:rPr>
          <w:rStyle w:val="A00"/>
          <w:rFonts w:ascii="Times New Roman" w:hAnsi="Times New Roman" w:cs="Times New Roman"/>
          <w:sz w:val="24"/>
          <w:szCs w:val="24"/>
        </w:rPr>
      </w:pPr>
      <w:r>
        <w:rPr>
          <w:rStyle w:val="A00"/>
          <w:rFonts w:ascii="Times New Roman" w:hAnsi="Times New Roman" w:cs="Times New Roman"/>
          <w:sz w:val="24"/>
          <w:szCs w:val="24"/>
        </w:rPr>
        <w:lastRenderedPageBreak/>
        <w:t>Με βάση, κοινά αποδεκτές</w:t>
      </w:r>
      <w:r w:rsidR="003F31F7" w:rsidRPr="00E17051">
        <w:rPr>
          <w:rStyle w:val="A00"/>
          <w:rFonts w:ascii="Times New Roman" w:hAnsi="Times New Roman" w:cs="Times New Roman"/>
          <w:sz w:val="24"/>
          <w:szCs w:val="24"/>
        </w:rPr>
        <w:t xml:space="preserve"> σε μεγάλο βαθμό, τις προβλέψεις για την εξέλιξη  της δομής του ενεργειακού συστήματος, </w:t>
      </w:r>
      <w:r w:rsidR="003F31F7">
        <w:rPr>
          <w:rStyle w:val="A00"/>
          <w:rFonts w:ascii="Times New Roman" w:hAnsi="Times New Roman" w:cs="Times New Roman"/>
          <w:sz w:val="24"/>
          <w:szCs w:val="24"/>
        </w:rPr>
        <w:t xml:space="preserve">στο πλαίσιο του υποχρεωτικού ενεργειακού μετασχηματισμού του συστήματος για την αντιμετώπιση της κλιματικής αλλαγής και ενίσχυση της ενεργειακής ασφάλειας, </w:t>
      </w:r>
      <w:r w:rsidR="003F31F7" w:rsidRPr="00E17051">
        <w:rPr>
          <w:rStyle w:val="A00"/>
          <w:rFonts w:ascii="Times New Roman" w:hAnsi="Times New Roman" w:cs="Times New Roman"/>
          <w:sz w:val="24"/>
          <w:szCs w:val="24"/>
        </w:rPr>
        <w:t>οι κύριοι διεθνείς οργανισμοί προβλέπουν για την περίοδο 2017-2035 ότι:</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lang/>
        </w:rPr>
        <w:t>H</w:t>
      </w:r>
      <w:r w:rsidRPr="00E17051">
        <w:rPr>
          <w:rFonts w:ascii="Times New Roman" w:eastAsia="Times New Roman" w:hAnsi="Times New Roman" w:cs="Times New Roman"/>
          <w:sz w:val="24"/>
          <w:szCs w:val="24"/>
        </w:rPr>
        <w:t xml:space="preserve"> παγκόσμια ζήτηση ενέργειας </w:t>
      </w:r>
      <w:r w:rsidR="002936C9">
        <w:rPr>
          <w:rFonts w:ascii="Times New Roman" w:eastAsia="Times New Roman" w:hAnsi="Times New Roman" w:cs="Times New Roman"/>
          <w:sz w:val="24"/>
          <w:szCs w:val="24"/>
        </w:rPr>
        <w:t>θ</w:t>
      </w:r>
      <w:r w:rsidR="00441407">
        <w:rPr>
          <w:rFonts w:ascii="Times New Roman" w:eastAsia="Times New Roman" w:hAnsi="Times New Roman" w:cs="Times New Roman"/>
          <w:sz w:val="24"/>
          <w:szCs w:val="24"/>
        </w:rPr>
        <w:t>α αυξηθεί μέχρι το 2035 κατά 30</w:t>
      </w:r>
      <w:r w:rsidRPr="00E17051">
        <w:rPr>
          <w:rFonts w:ascii="Times New Roman" w:eastAsia="Times New Roman" w:hAnsi="Times New Roman" w:cs="Times New Roman"/>
          <w:sz w:val="24"/>
          <w:szCs w:val="24"/>
        </w:rPr>
        <w:t>% περίπου, κυρίως λόγ</w:t>
      </w:r>
      <w:r w:rsidR="00D14338">
        <w:rPr>
          <w:rFonts w:ascii="Times New Roman" w:eastAsia="Times New Roman" w:hAnsi="Times New Roman" w:cs="Times New Roman"/>
          <w:sz w:val="24"/>
          <w:szCs w:val="24"/>
        </w:rPr>
        <w:t>ω της οικονομικής ανάπτυξης στις</w:t>
      </w:r>
      <w:r w:rsidRPr="00E17051">
        <w:rPr>
          <w:rFonts w:ascii="Times New Roman" w:eastAsia="Times New Roman" w:hAnsi="Times New Roman" w:cs="Times New Roman"/>
          <w:sz w:val="24"/>
          <w:szCs w:val="24"/>
        </w:rPr>
        <w:t xml:space="preserve"> αναπτυσσόμενες χώρες, η οποία όμως αντισταθμίζεται από τα σημαντικά οφέλη στην ενεργειακή απόδοση.</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t>Τεχνολογικές βελτιώσεις και περιβαλλοντικοί προβληματισμοί μεταβάλλουν το μίγμα της ακαθάριστης κατανάλωσης ενέργειας (</w:t>
      </w:r>
      <w:r w:rsidRPr="00E17051">
        <w:rPr>
          <w:rFonts w:ascii="Times New Roman" w:eastAsia="Times New Roman" w:hAnsi="Times New Roman" w:cs="Times New Roman"/>
          <w:sz w:val="24"/>
          <w:szCs w:val="24"/>
          <w:lang/>
        </w:rPr>
        <w:t>primaryenergydemand</w:t>
      </w:r>
      <w:r w:rsidRPr="00E17051">
        <w:rPr>
          <w:rFonts w:ascii="Times New Roman" w:eastAsia="Times New Roman" w:hAnsi="Times New Roman" w:cs="Times New Roman"/>
          <w:sz w:val="24"/>
          <w:szCs w:val="24"/>
        </w:rPr>
        <w:t xml:space="preserve">), αλλά τα ορυκτά καύσιμα (πετρέλαιο, φυσικό αέριο και άνθρακας) παραμένουν έως το 2035 </w:t>
      </w:r>
      <w:r w:rsidR="005D1FF5">
        <w:rPr>
          <w:rFonts w:ascii="Times New Roman" w:eastAsia="Times New Roman" w:hAnsi="Times New Roman" w:cs="Times New Roman"/>
          <w:sz w:val="24"/>
          <w:szCs w:val="24"/>
        </w:rPr>
        <w:t xml:space="preserve">ως </w:t>
      </w:r>
      <w:r w:rsidRPr="00E17051">
        <w:rPr>
          <w:rFonts w:ascii="Times New Roman" w:eastAsia="Times New Roman" w:hAnsi="Times New Roman" w:cs="Times New Roman"/>
          <w:sz w:val="24"/>
          <w:szCs w:val="24"/>
        </w:rPr>
        <w:t>η κύρια ενεργειακή πηγή με ποσοστό 7</w:t>
      </w:r>
      <w:r w:rsidR="008B7B2A" w:rsidRPr="008B7B2A">
        <w:rPr>
          <w:rFonts w:ascii="Times New Roman" w:eastAsia="Times New Roman" w:hAnsi="Times New Roman" w:cs="Times New Roman"/>
          <w:sz w:val="24"/>
          <w:szCs w:val="24"/>
        </w:rPr>
        <w:t>8</w:t>
      </w:r>
      <w:r w:rsidRPr="00E17051">
        <w:rPr>
          <w:rFonts w:ascii="Times New Roman" w:eastAsia="Times New Roman" w:hAnsi="Times New Roman" w:cs="Times New Roman"/>
          <w:sz w:val="24"/>
          <w:szCs w:val="24"/>
        </w:rPr>
        <w:t xml:space="preserve">% στο σύνολο της ενεργειακής τροφοδοσίας </w:t>
      </w:r>
      <w:r w:rsidR="008B7B2A" w:rsidRPr="008B7B2A">
        <w:rPr>
          <w:rFonts w:ascii="Times New Roman" w:eastAsia="Times New Roman" w:hAnsi="Times New Roman" w:cs="Times New Roman"/>
          <w:sz w:val="24"/>
          <w:szCs w:val="24"/>
        </w:rPr>
        <w:t>(</w:t>
      </w:r>
      <w:r w:rsidR="008B7B2A">
        <w:rPr>
          <w:rFonts w:ascii="Times New Roman" w:eastAsia="Times New Roman" w:hAnsi="Times New Roman" w:cs="Times New Roman"/>
          <w:sz w:val="24"/>
          <w:szCs w:val="24"/>
        </w:rPr>
        <w:t xml:space="preserve">εκτιμήσεις </w:t>
      </w:r>
      <w:r w:rsidR="008B7B2A">
        <w:rPr>
          <w:rFonts w:ascii="Times New Roman" w:eastAsia="Times New Roman" w:hAnsi="Times New Roman" w:cs="Times New Roman"/>
          <w:sz w:val="24"/>
          <w:szCs w:val="24"/>
          <w:lang w:val="en-US"/>
        </w:rPr>
        <w:t>BP</w:t>
      </w:r>
      <w:r w:rsidR="008B7B2A">
        <w:rPr>
          <w:rFonts w:ascii="Times New Roman" w:eastAsia="Times New Roman" w:hAnsi="Times New Roman" w:cs="Times New Roman"/>
          <w:sz w:val="24"/>
          <w:szCs w:val="24"/>
        </w:rPr>
        <w:t xml:space="preserve"> Ιαν. 2017)</w:t>
      </w:r>
      <w:r w:rsidRPr="00E17051">
        <w:rPr>
          <w:rFonts w:ascii="Times New Roman" w:eastAsia="Times New Roman" w:hAnsi="Times New Roman" w:cs="Times New Roman"/>
          <w:sz w:val="24"/>
          <w:szCs w:val="24"/>
          <w:lang/>
        </w:rPr>
        <w:t> </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t>Το φυσικό αέριο αναπτύσσεται ταχύτερα απ’ ότι το πετρέλαιο ή ο άνθ</w:t>
      </w:r>
      <w:r w:rsidR="005D1FF5">
        <w:rPr>
          <w:rFonts w:ascii="Times New Roman" w:eastAsia="Times New Roman" w:hAnsi="Times New Roman" w:cs="Times New Roman"/>
          <w:sz w:val="24"/>
          <w:szCs w:val="24"/>
        </w:rPr>
        <w:t>ρακας, με μέσο ετήσιο ρυθμό 1,6</w:t>
      </w:r>
      <w:r w:rsidRPr="00E17051">
        <w:rPr>
          <w:rFonts w:ascii="Times New Roman" w:eastAsia="Times New Roman" w:hAnsi="Times New Roman" w:cs="Times New Roman"/>
          <w:sz w:val="24"/>
          <w:szCs w:val="24"/>
        </w:rPr>
        <w:t>%, ενώ η ταχύτατη επέκταση του υγροποιημένου φυσικού αερίου (</w:t>
      </w:r>
      <w:r w:rsidRPr="00E17051">
        <w:rPr>
          <w:rFonts w:ascii="Times New Roman" w:eastAsia="Times New Roman" w:hAnsi="Times New Roman" w:cs="Times New Roman"/>
          <w:sz w:val="24"/>
          <w:szCs w:val="24"/>
          <w:lang/>
        </w:rPr>
        <w:t>LNG</w:t>
      </w:r>
      <w:r w:rsidRPr="00E17051">
        <w:rPr>
          <w:rFonts w:ascii="Times New Roman" w:eastAsia="Times New Roman" w:hAnsi="Times New Roman" w:cs="Times New Roman"/>
          <w:sz w:val="24"/>
          <w:szCs w:val="24"/>
        </w:rPr>
        <w:t xml:space="preserve">) πιθανώς να οδηγήσει σε μια παγκόσμια ολοκληρωμένη αγορά φυσικού αερίου, επηρεαζόμενη από τις τιμές του αμερικάνικου φυσικού αερίου. </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t xml:space="preserve">Η παραγωγή σχιστολιθικού αερίου αποτελεί τα 2/3 της αύξησης στις συνολικές προμήθειες αερίου. </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t xml:space="preserve">Η ζήτηση πετρελαίου αυξάνεται αλλά με βραδύτερο μέσο ετήσιο ρυθμό 0,7%, παρόλο που αναμένεται να επιβραδυνθεί. </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t>Η παγκόσμια κατανάλωση άνθρακα φθάνει στο ανώτατο σημείο (</w:t>
      </w:r>
      <w:r w:rsidRPr="00E17051">
        <w:rPr>
          <w:rFonts w:ascii="Times New Roman" w:eastAsia="Times New Roman" w:hAnsi="Times New Roman" w:cs="Times New Roman"/>
          <w:sz w:val="24"/>
          <w:szCs w:val="24"/>
          <w:lang w:val="en-US"/>
        </w:rPr>
        <w:t>peaks</w:t>
      </w:r>
      <w:r w:rsidRPr="00E17051">
        <w:rPr>
          <w:rFonts w:ascii="Times New Roman" w:eastAsia="Times New Roman" w:hAnsi="Times New Roman" w:cs="Times New Roman"/>
          <w:sz w:val="24"/>
          <w:szCs w:val="24"/>
        </w:rPr>
        <w:t xml:space="preserve">) στα μέσα της δεκαετίας 2020, επηρεαζόμενη από την στροφή της Κίνας προς καθαρότερα, χαμηλού άνθρακα, καύσιμα. </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t xml:space="preserve">Οι ανανεώσιμες πηγές ενέργειας παραμένουν αδιαμφισβήτητα ως η ταχύτατα αναπτυσσόμενη ενεργειακή πηγή, τετραπλασιαζόμενη κατά τα επόμενα είκοσι χρόνια, με </w:t>
      </w:r>
      <w:r w:rsidR="00C37A2D">
        <w:rPr>
          <w:rFonts w:ascii="Times New Roman" w:eastAsia="Times New Roman" w:hAnsi="Times New Roman" w:cs="Times New Roman"/>
          <w:sz w:val="24"/>
          <w:szCs w:val="24"/>
        </w:rPr>
        <w:t>μέσο ετήσιο ρυθμό ανάπτυξης 7,6</w:t>
      </w:r>
      <w:r w:rsidRPr="00E17051">
        <w:rPr>
          <w:rFonts w:ascii="Times New Roman" w:eastAsia="Times New Roman" w:hAnsi="Times New Roman" w:cs="Times New Roman"/>
          <w:sz w:val="24"/>
          <w:szCs w:val="24"/>
        </w:rPr>
        <w:t xml:space="preserve">% και με την Κίνα να αποτελεί τη σημαντικότερη χώρα στην ανάπτυξη των ανανεώσιμων πηγών ενέργειας κατά την επόμενη εικοσαετία.   </w:t>
      </w:r>
    </w:p>
    <w:p w:rsidR="003F31F7" w:rsidRPr="00E17051" w:rsidRDefault="003F31F7" w:rsidP="003F31F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E17051">
        <w:rPr>
          <w:rFonts w:ascii="Times New Roman" w:eastAsia="Times New Roman" w:hAnsi="Times New Roman" w:cs="Times New Roman"/>
          <w:sz w:val="24"/>
          <w:szCs w:val="24"/>
        </w:rPr>
        <w:lastRenderedPageBreak/>
        <w:t xml:space="preserve">Ο τομέας ηλεκτρικής ενέργειας αντιπροσωπεύει σχεδόν τα 2/3 της αύξησης της πρωτογενούς ενέργειας. </w:t>
      </w:r>
    </w:p>
    <w:p w:rsidR="00952450" w:rsidRDefault="003F31F7" w:rsidP="00226717">
      <w:pPr>
        <w:numPr>
          <w:ilvl w:val="0"/>
          <w:numId w:val="8"/>
        </w:numPr>
        <w:spacing w:before="100" w:beforeAutospacing="1" w:after="120" w:line="360" w:lineRule="auto"/>
        <w:jc w:val="both"/>
        <w:textAlignment w:val="top"/>
        <w:rPr>
          <w:rFonts w:ascii="Times New Roman" w:eastAsia="Times New Roman" w:hAnsi="Times New Roman" w:cs="Times New Roman"/>
          <w:sz w:val="24"/>
          <w:szCs w:val="24"/>
        </w:rPr>
      </w:pPr>
      <w:r w:rsidRPr="00707B19">
        <w:rPr>
          <w:rFonts w:ascii="Times New Roman" w:eastAsia="Times New Roman" w:hAnsi="Times New Roman" w:cs="Times New Roman"/>
          <w:sz w:val="24"/>
          <w:szCs w:val="24"/>
        </w:rPr>
        <w:t>Οι εκπομπές άνθρακα αυξάνονται κατά λιγότερο από το 1/3 του ετήσιου ρυθμού αύξησης κατά τα τελευταία είκοσι χρόνια, αντανακλώντας τα οφέλη από την ενεργειακή απόδοση (</w:t>
      </w:r>
      <w:r w:rsidRPr="00707B19">
        <w:rPr>
          <w:rFonts w:ascii="Times New Roman" w:eastAsia="Times New Roman" w:hAnsi="Times New Roman" w:cs="Times New Roman"/>
          <w:sz w:val="24"/>
          <w:szCs w:val="24"/>
          <w:lang/>
        </w:rPr>
        <w:t>energyefficiency</w:t>
      </w:r>
      <w:r w:rsidRPr="00707B19">
        <w:rPr>
          <w:rFonts w:ascii="Times New Roman" w:eastAsia="Times New Roman" w:hAnsi="Times New Roman" w:cs="Times New Roman"/>
          <w:sz w:val="24"/>
          <w:szCs w:val="24"/>
        </w:rPr>
        <w:t>) και την αλλαγή στο μίγμα καυσίμων. Παρόλα αυτά, όμως, προβλέπεται να αυξηθούν τονίζοντας την ανάγκη για περαιτέρω δράση.</w:t>
      </w:r>
    </w:p>
    <w:p w:rsidR="00A04A0E" w:rsidRPr="00707B19" w:rsidRDefault="00A04A0E" w:rsidP="00A04A0E">
      <w:pPr>
        <w:spacing w:before="100" w:beforeAutospacing="1" w:after="120" w:line="360" w:lineRule="auto"/>
        <w:ind w:left="360"/>
        <w:jc w:val="both"/>
        <w:textAlignment w:val="top"/>
        <w:rPr>
          <w:rFonts w:ascii="Times New Roman" w:eastAsia="Times New Roman" w:hAnsi="Times New Roman" w:cs="Times New Roman"/>
          <w:sz w:val="24"/>
          <w:szCs w:val="24"/>
        </w:rPr>
      </w:pPr>
    </w:p>
    <w:p w:rsidR="00952450" w:rsidRPr="00952450" w:rsidRDefault="00952450" w:rsidP="00952450">
      <w:pPr>
        <w:pStyle w:val="a3"/>
        <w:numPr>
          <w:ilvl w:val="0"/>
          <w:numId w:val="11"/>
        </w:numPr>
        <w:spacing w:before="300" w:after="0" w:line="360" w:lineRule="auto"/>
        <w:ind w:left="426" w:hanging="426"/>
        <w:jc w:val="both"/>
        <w:textAlignment w:val="top"/>
        <w:outlineLvl w:val="2"/>
        <w:rPr>
          <w:rFonts w:ascii="Times New Roman" w:eastAsia="Times New Roman" w:hAnsi="Times New Roman" w:cs="Times New Roman"/>
          <w:b/>
          <w:spacing w:val="-7"/>
          <w:sz w:val="32"/>
          <w:szCs w:val="32"/>
        </w:rPr>
      </w:pPr>
      <w:r>
        <w:rPr>
          <w:rFonts w:ascii="Times New Roman" w:eastAsia="Times New Roman" w:hAnsi="Times New Roman" w:cs="Times New Roman"/>
          <w:b/>
          <w:spacing w:val="-7"/>
          <w:sz w:val="32"/>
          <w:szCs w:val="32"/>
        </w:rPr>
        <w:t>Το ελληνικό ενεργειακό σύστημα. Μετασχηματισμός και μεταρρυθμίσεις</w:t>
      </w:r>
    </w:p>
    <w:p w:rsidR="00952450" w:rsidRPr="00952450" w:rsidRDefault="00952450" w:rsidP="00952450">
      <w:pPr>
        <w:spacing w:before="100" w:beforeAutospacing="1" w:after="120" w:line="360" w:lineRule="auto"/>
        <w:jc w:val="both"/>
        <w:textAlignment w:val="top"/>
        <w:rPr>
          <w:rFonts w:ascii="Times New Roman" w:eastAsia="Times New Roman" w:hAnsi="Times New Roman" w:cs="Times New Roman"/>
          <w:b/>
          <w:sz w:val="28"/>
          <w:szCs w:val="28"/>
        </w:rPr>
      </w:pPr>
      <w:r w:rsidRPr="00952450">
        <w:rPr>
          <w:rFonts w:ascii="Times New Roman" w:eastAsia="Times New Roman" w:hAnsi="Times New Roman" w:cs="Times New Roman"/>
          <w:b/>
          <w:sz w:val="28"/>
          <w:szCs w:val="28"/>
        </w:rPr>
        <w:t>2.1 Ο αδύναμος μετασχηματισμός και η μειούμενη ενεργειακή αποδοτικότητα</w:t>
      </w:r>
    </w:p>
    <w:p w:rsidR="00952450" w:rsidRDefault="00952450" w:rsidP="0095245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Το ελληνικό ενεργειακό σύστημα εξελίχθηκε στο πλαίσιο των ευρωπαϊκών ενεργειακών πολιτικών και της αποδιάρθρωσης του εθνικού παραγωγικού συστήματος από τη ραγδαία αποβιομηχάνιση και την απαξίωση του αγροτικού τομέα.</w:t>
      </w:r>
    </w:p>
    <w:p w:rsidR="003D213F" w:rsidRDefault="003D213F" w:rsidP="0095245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Έτσι, την περίοδο 1990-2008 που προηγείται της παγκόσμιας χρηματοπιστωτικής κρίσης η ακαθάριστη εγχώρια </w:t>
      </w:r>
      <w:r w:rsidR="00C37A2D">
        <w:rPr>
          <w:rFonts w:ascii="Times New Roman" w:eastAsia="Times New Roman" w:hAnsi="Times New Roman" w:cs="Times New Roman"/>
          <w:sz w:val="24"/>
          <w:szCs w:val="24"/>
        </w:rPr>
        <w:t>κατανάλωση θα αυξηθεί κατά 42,4</w:t>
      </w:r>
      <w:r>
        <w:rPr>
          <w:rFonts w:ascii="Times New Roman" w:eastAsia="Times New Roman" w:hAnsi="Times New Roman" w:cs="Times New Roman"/>
          <w:sz w:val="24"/>
          <w:szCs w:val="24"/>
        </w:rPr>
        <w:t>% με κυρίαρχη την παρουσία των ορυκτών καυσίμων με ποσοστό</w:t>
      </w:r>
      <w:r w:rsidR="00C37A2D">
        <w:rPr>
          <w:rFonts w:ascii="Times New Roman" w:eastAsia="Times New Roman" w:hAnsi="Times New Roman" w:cs="Times New Roman"/>
          <w:sz w:val="24"/>
          <w:szCs w:val="24"/>
        </w:rPr>
        <w:t xml:space="preserve"> συμμετοχής, το οποίο από 94,68</w:t>
      </w:r>
      <w:r>
        <w:rPr>
          <w:rFonts w:ascii="Times New Roman" w:eastAsia="Times New Roman" w:hAnsi="Times New Roman" w:cs="Times New Roman"/>
          <w:sz w:val="24"/>
          <w:szCs w:val="24"/>
        </w:rPr>
        <w:t>% το 1</w:t>
      </w:r>
      <w:r w:rsidR="00C37A2D">
        <w:rPr>
          <w:rFonts w:ascii="Times New Roman" w:eastAsia="Times New Roman" w:hAnsi="Times New Roman" w:cs="Times New Roman"/>
          <w:sz w:val="24"/>
          <w:szCs w:val="24"/>
        </w:rPr>
        <w:t>990 μειώνεται ελάχιστα σε 90,09</w:t>
      </w:r>
      <w:r>
        <w:rPr>
          <w:rFonts w:ascii="Times New Roman" w:eastAsia="Times New Roman" w:hAnsi="Times New Roman" w:cs="Times New Roman"/>
          <w:sz w:val="24"/>
          <w:szCs w:val="24"/>
        </w:rPr>
        <w:t>% το 2008</w:t>
      </w:r>
      <w:r w:rsidR="00707B19">
        <w:rPr>
          <w:rStyle w:val="a7"/>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w:t>
      </w:r>
    </w:p>
    <w:p w:rsidR="008676B0" w:rsidRDefault="003D213F" w:rsidP="00952450">
      <w:pPr>
        <w:spacing w:before="100" w:beforeAutospacing="1" w:after="120" w:line="360" w:lineRule="auto"/>
        <w:jc w:val="both"/>
        <w:textAlignment w:val="top"/>
        <w:rPr>
          <w:rFonts w:ascii="Times New Roman" w:eastAsia="Times New Roman" w:hAnsi="Times New Roman" w:cs="Times New Roman"/>
          <w:sz w:val="24"/>
          <w:szCs w:val="24"/>
        </w:rPr>
      </w:pPr>
      <w:r w:rsidRPr="00FB423F">
        <w:rPr>
          <w:rFonts w:ascii="Times New Roman" w:eastAsia="Times New Roman" w:hAnsi="Times New Roman" w:cs="Times New Roman"/>
          <w:b/>
          <w:sz w:val="24"/>
          <w:szCs w:val="24"/>
        </w:rPr>
        <w:t xml:space="preserve"> Η κύρια μεταβολή</w:t>
      </w:r>
      <w:r>
        <w:rPr>
          <w:rFonts w:ascii="Times New Roman" w:eastAsia="Times New Roman" w:hAnsi="Times New Roman" w:cs="Times New Roman"/>
          <w:sz w:val="24"/>
          <w:szCs w:val="24"/>
        </w:rPr>
        <w:t xml:space="preserve"> που συντελείται την περίοδο αυτή είναι </w:t>
      </w:r>
      <w:r w:rsidRPr="00FB423F">
        <w:rPr>
          <w:rFonts w:ascii="Times New Roman" w:eastAsia="Times New Roman" w:hAnsi="Times New Roman" w:cs="Times New Roman"/>
          <w:b/>
          <w:sz w:val="24"/>
          <w:szCs w:val="24"/>
        </w:rPr>
        <w:t>η μείωση της συμμετοχής του εγχώριου λιγνίτη,</w:t>
      </w:r>
      <w:r>
        <w:rPr>
          <w:rFonts w:ascii="Times New Roman" w:eastAsia="Times New Roman" w:hAnsi="Times New Roman" w:cs="Times New Roman"/>
          <w:sz w:val="24"/>
          <w:szCs w:val="24"/>
        </w:rPr>
        <w:t xml:space="preserve"> ο οποίος ενώ διατηρεί τα επίπεδα κατανάλωσης στους 8,32 εκατ. Τ.Ι.Π το 2008, περιορίζει τη συμμετοχή του </w:t>
      </w:r>
      <w:r w:rsidR="00C37A2D">
        <w:rPr>
          <w:rFonts w:ascii="Times New Roman" w:eastAsia="Times New Roman" w:hAnsi="Times New Roman" w:cs="Times New Roman"/>
          <w:sz w:val="24"/>
          <w:szCs w:val="24"/>
        </w:rPr>
        <w:t>στο ενεργειακό μίγμα στο 26,03% έναντι 36,07</w:t>
      </w:r>
      <w:r w:rsidR="008676B0">
        <w:rPr>
          <w:rFonts w:ascii="Times New Roman" w:eastAsia="Times New Roman" w:hAnsi="Times New Roman" w:cs="Times New Roman"/>
          <w:sz w:val="24"/>
          <w:szCs w:val="24"/>
        </w:rPr>
        <w:t xml:space="preserve">% το 1990, </w:t>
      </w:r>
      <w:r w:rsidR="008676B0" w:rsidRPr="005C0774">
        <w:rPr>
          <w:rFonts w:ascii="Times New Roman" w:eastAsia="Times New Roman" w:hAnsi="Times New Roman" w:cs="Times New Roman"/>
          <w:b/>
          <w:sz w:val="24"/>
          <w:szCs w:val="24"/>
        </w:rPr>
        <w:t>υποκαθιστάμενος από το Φυσικό Αέριο</w:t>
      </w:r>
      <w:r w:rsidR="00C37A2D">
        <w:rPr>
          <w:rFonts w:ascii="Times New Roman" w:eastAsia="Times New Roman" w:hAnsi="Times New Roman" w:cs="Times New Roman"/>
          <w:b/>
          <w:sz w:val="24"/>
          <w:szCs w:val="24"/>
        </w:rPr>
        <w:t>,</w:t>
      </w:r>
      <w:r w:rsidR="008676B0">
        <w:rPr>
          <w:rFonts w:ascii="Times New Roman" w:eastAsia="Times New Roman" w:hAnsi="Times New Roman" w:cs="Times New Roman"/>
          <w:sz w:val="24"/>
          <w:szCs w:val="24"/>
        </w:rPr>
        <w:t xml:space="preserve"> το οποίο το </w:t>
      </w:r>
      <w:r w:rsidR="00C37A2D">
        <w:rPr>
          <w:rFonts w:ascii="Times New Roman" w:eastAsia="Times New Roman" w:hAnsi="Times New Roman" w:cs="Times New Roman"/>
          <w:sz w:val="24"/>
          <w:szCs w:val="24"/>
        </w:rPr>
        <w:t>2008 συμμετέχει με 11,01% έναντι 0,68</w:t>
      </w:r>
      <w:r w:rsidR="008676B0">
        <w:rPr>
          <w:rFonts w:ascii="Times New Roman" w:eastAsia="Times New Roman" w:hAnsi="Times New Roman" w:cs="Times New Roman"/>
          <w:sz w:val="24"/>
          <w:szCs w:val="24"/>
        </w:rPr>
        <w:t xml:space="preserve">% το 1990. </w:t>
      </w:r>
      <w:r w:rsidR="008676B0" w:rsidRPr="00FB423F">
        <w:rPr>
          <w:rFonts w:ascii="Times New Roman" w:eastAsia="Times New Roman" w:hAnsi="Times New Roman" w:cs="Times New Roman"/>
          <w:b/>
          <w:sz w:val="24"/>
          <w:szCs w:val="24"/>
        </w:rPr>
        <w:t>Την ίδια περίοδο</w:t>
      </w:r>
      <w:r w:rsidR="008676B0">
        <w:rPr>
          <w:rFonts w:ascii="Times New Roman" w:eastAsia="Times New Roman" w:hAnsi="Times New Roman" w:cs="Times New Roman"/>
          <w:sz w:val="24"/>
          <w:szCs w:val="24"/>
        </w:rPr>
        <w:t xml:space="preserve"> σταθερή </w:t>
      </w:r>
      <w:r w:rsidR="008676B0" w:rsidRPr="00FB423F">
        <w:rPr>
          <w:rFonts w:ascii="Times New Roman" w:eastAsia="Times New Roman" w:hAnsi="Times New Roman" w:cs="Times New Roman"/>
          <w:b/>
          <w:sz w:val="24"/>
          <w:szCs w:val="24"/>
        </w:rPr>
        <w:t>παραμένει η κυριαρχία του πετρελαίου</w:t>
      </w:r>
      <w:r w:rsidR="008676B0">
        <w:rPr>
          <w:rFonts w:ascii="Times New Roman" w:eastAsia="Times New Roman" w:hAnsi="Times New Roman" w:cs="Times New Roman"/>
          <w:sz w:val="24"/>
          <w:szCs w:val="24"/>
        </w:rPr>
        <w:t xml:space="preserve"> με συνακόλουθο την υψηλή εξάρτη</w:t>
      </w:r>
      <w:r w:rsidR="00E64B42">
        <w:rPr>
          <w:rFonts w:ascii="Times New Roman" w:eastAsia="Times New Roman" w:hAnsi="Times New Roman" w:cs="Times New Roman"/>
          <w:sz w:val="24"/>
          <w:szCs w:val="24"/>
        </w:rPr>
        <w:t>ση, με ποσοστό συμμετοχής 55,15% το 2008 έναντι 57,92</w:t>
      </w:r>
      <w:r w:rsidR="008676B0">
        <w:rPr>
          <w:rFonts w:ascii="Times New Roman" w:eastAsia="Times New Roman" w:hAnsi="Times New Roman" w:cs="Times New Roman"/>
          <w:sz w:val="24"/>
          <w:szCs w:val="24"/>
        </w:rPr>
        <w:t xml:space="preserve">% το 1990. </w:t>
      </w:r>
    </w:p>
    <w:p w:rsidR="00012116" w:rsidRDefault="008676B0" w:rsidP="0095245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Τέλος, </w:t>
      </w:r>
      <w:r w:rsidRPr="00FB423F">
        <w:rPr>
          <w:rFonts w:ascii="Times New Roman" w:eastAsia="Times New Roman" w:hAnsi="Times New Roman" w:cs="Times New Roman"/>
          <w:b/>
          <w:sz w:val="24"/>
          <w:szCs w:val="24"/>
        </w:rPr>
        <w:t>περιορισμένη κρίνεται η ανάπτυξη των Ανανεώσιμων Πηγών Ενέργειας</w:t>
      </w:r>
      <w:r w:rsidR="00E64B4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των οποίων η συμμετοχή </w:t>
      </w:r>
      <w:r w:rsidR="00E64B42">
        <w:rPr>
          <w:rFonts w:ascii="Times New Roman" w:eastAsia="Times New Roman" w:hAnsi="Times New Roman" w:cs="Times New Roman"/>
          <w:sz w:val="24"/>
          <w:szCs w:val="24"/>
        </w:rPr>
        <w:t>το 2008 ανέρχεται στο 5,37% έναντι 4,94</w:t>
      </w:r>
      <w:r w:rsidR="00012116">
        <w:rPr>
          <w:rFonts w:ascii="Times New Roman" w:eastAsia="Times New Roman" w:hAnsi="Times New Roman" w:cs="Times New Roman"/>
          <w:sz w:val="24"/>
          <w:szCs w:val="24"/>
        </w:rPr>
        <w:t>% το 1990</w:t>
      </w:r>
      <w:r w:rsidR="00E64B42">
        <w:rPr>
          <w:rFonts w:ascii="Times New Roman" w:eastAsia="Times New Roman" w:hAnsi="Times New Roman" w:cs="Times New Roman"/>
          <w:sz w:val="24"/>
          <w:szCs w:val="24"/>
        </w:rPr>
        <w:t>,</w:t>
      </w:r>
      <w:r w:rsidR="00012116">
        <w:rPr>
          <w:rFonts w:ascii="Times New Roman" w:eastAsia="Times New Roman" w:hAnsi="Times New Roman" w:cs="Times New Roman"/>
          <w:sz w:val="24"/>
          <w:szCs w:val="24"/>
        </w:rPr>
        <w:t xml:space="preserve"> παρά τους φιλόδοξους σχεδιασμούς, προφανώς επί χάρτου, του τότε Υπουργείου Βιομηχανίας</w:t>
      </w:r>
      <w:r w:rsidR="00E64B42">
        <w:rPr>
          <w:rFonts w:ascii="Times New Roman" w:eastAsia="Times New Roman" w:hAnsi="Times New Roman" w:cs="Times New Roman"/>
          <w:sz w:val="24"/>
          <w:szCs w:val="24"/>
        </w:rPr>
        <w:t>,</w:t>
      </w:r>
      <w:r w:rsidR="00012116">
        <w:rPr>
          <w:rFonts w:ascii="Times New Roman" w:eastAsia="Times New Roman" w:hAnsi="Times New Roman" w:cs="Times New Roman"/>
          <w:sz w:val="24"/>
          <w:szCs w:val="24"/>
        </w:rPr>
        <w:t xml:space="preserve">  Ενέργειας και Τεχνολογίας</w:t>
      </w:r>
      <w:r w:rsidR="00E64B42">
        <w:rPr>
          <w:rFonts w:ascii="Times New Roman" w:eastAsia="Times New Roman" w:hAnsi="Times New Roman" w:cs="Times New Roman"/>
          <w:sz w:val="24"/>
          <w:szCs w:val="24"/>
        </w:rPr>
        <w:t>,</w:t>
      </w:r>
      <w:r w:rsidR="00012116">
        <w:rPr>
          <w:rFonts w:ascii="Times New Roman" w:eastAsia="Times New Roman" w:hAnsi="Times New Roman" w:cs="Times New Roman"/>
          <w:sz w:val="24"/>
          <w:szCs w:val="24"/>
        </w:rPr>
        <w:t xml:space="preserve"> που τον Απρίλιο 1988 προέβλεπε για το 2000 υπερδιπλάσια συ</w:t>
      </w:r>
      <w:r w:rsidR="00E64B42">
        <w:rPr>
          <w:rFonts w:ascii="Times New Roman" w:eastAsia="Times New Roman" w:hAnsi="Times New Roman" w:cs="Times New Roman"/>
          <w:sz w:val="24"/>
          <w:szCs w:val="24"/>
        </w:rPr>
        <w:t>μμετοχή στο ενεργειακό μίγμα 10</w:t>
      </w:r>
      <w:r w:rsidR="00012116">
        <w:rPr>
          <w:rFonts w:ascii="Times New Roman" w:eastAsia="Times New Roman" w:hAnsi="Times New Roman" w:cs="Times New Roman"/>
          <w:sz w:val="24"/>
          <w:szCs w:val="24"/>
        </w:rPr>
        <w:t>%</w:t>
      </w:r>
      <w:r w:rsidR="00E64B42">
        <w:rPr>
          <w:rFonts w:ascii="Times New Roman" w:eastAsia="Times New Roman" w:hAnsi="Times New Roman" w:cs="Times New Roman"/>
          <w:sz w:val="24"/>
          <w:szCs w:val="24"/>
        </w:rPr>
        <w:t xml:space="preserve"> έναντι πραγματοποιηθείσας 4,94</w:t>
      </w:r>
      <w:r w:rsidR="00012116">
        <w:rPr>
          <w:rFonts w:ascii="Times New Roman" w:eastAsia="Times New Roman" w:hAnsi="Times New Roman" w:cs="Times New Roman"/>
          <w:sz w:val="24"/>
          <w:szCs w:val="24"/>
        </w:rPr>
        <w:t>% και συνολικής εγχώριας κατανάλωσης των ΑΠΕ 2,5 εκατ. Τ.Ι.Π έναντι 1,4 εκατ. Τ.Ι.Π.</w:t>
      </w:r>
      <w:r w:rsidR="00B60583">
        <w:rPr>
          <w:rStyle w:val="a7"/>
          <w:rFonts w:ascii="Times New Roman" w:eastAsia="Times New Roman" w:hAnsi="Times New Roman" w:cs="Times New Roman"/>
          <w:sz w:val="24"/>
          <w:szCs w:val="24"/>
        </w:rPr>
        <w:footnoteReference w:id="5"/>
      </w:r>
    </w:p>
    <w:p w:rsidR="00A1528A" w:rsidRDefault="00012116" w:rsidP="00952450">
      <w:pPr>
        <w:spacing w:before="100" w:beforeAutospacing="1" w:after="120" w:line="360" w:lineRule="auto"/>
        <w:jc w:val="both"/>
        <w:textAlignment w:val="top"/>
        <w:rPr>
          <w:rFonts w:ascii="Times New Roman" w:eastAsia="Times New Roman" w:hAnsi="Times New Roman" w:cs="Times New Roman"/>
          <w:sz w:val="24"/>
          <w:szCs w:val="24"/>
        </w:rPr>
      </w:pPr>
      <w:r w:rsidRPr="00FB423F">
        <w:rPr>
          <w:rFonts w:ascii="Times New Roman" w:eastAsia="Times New Roman" w:hAnsi="Times New Roman" w:cs="Times New Roman"/>
          <w:b/>
          <w:sz w:val="24"/>
          <w:szCs w:val="24"/>
        </w:rPr>
        <w:t>Την περίοδο της κρίσης 2008-2015</w:t>
      </w:r>
      <w:r>
        <w:rPr>
          <w:rFonts w:ascii="Times New Roman" w:eastAsia="Times New Roman" w:hAnsi="Times New Roman" w:cs="Times New Roman"/>
          <w:sz w:val="24"/>
          <w:szCs w:val="24"/>
        </w:rPr>
        <w:t xml:space="preserve"> η συνολική εγχώρια</w:t>
      </w:r>
      <w:r w:rsidR="0004391B">
        <w:rPr>
          <w:rFonts w:ascii="Times New Roman" w:eastAsia="Times New Roman" w:hAnsi="Times New Roman" w:cs="Times New Roman"/>
          <w:sz w:val="24"/>
          <w:szCs w:val="24"/>
        </w:rPr>
        <w:t xml:space="preserve"> κατανάλωση μειώνεται κατά 23,4</w:t>
      </w:r>
      <w:r>
        <w:rPr>
          <w:rFonts w:ascii="Times New Roman" w:eastAsia="Times New Roman" w:hAnsi="Times New Roman" w:cs="Times New Roman"/>
          <w:sz w:val="24"/>
          <w:szCs w:val="24"/>
        </w:rPr>
        <w:t xml:space="preserve">% και </w:t>
      </w:r>
      <w:r w:rsidRPr="00FB423F">
        <w:rPr>
          <w:rFonts w:ascii="Times New Roman" w:eastAsia="Times New Roman" w:hAnsi="Times New Roman" w:cs="Times New Roman"/>
          <w:b/>
          <w:sz w:val="24"/>
          <w:szCs w:val="24"/>
        </w:rPr>
        <w:t>το ενεργειακό μίγμα μετασχηματίζεται αδύναμα</w:t>
      </w:r>
      <w:r>
        <w:rPr>
          <w:rFonts w:ascii="Times New Roman" w:eastAsia="Times New Roman" w:hAnsi="Times New Roman" w:cs="Times New Roman"/>
          <w:sz w:val="24"/>
          <w:szCs w:val="24"/>
        </w:rPr>
        <w:t xml:space="preserve">, </w:t>
      </w:r>
      <w:r w:rsidR="00A1528A">
        <w:rPr>
          <w:rFonts w:ascii="Times New Roman" w:eastAsia="Times New Roman" w:hAnsi="Times New Roman" w:cs="Times New Roman"/>
          <w:sz w:val="24"/>
          <w:szCs w:val="24"/>
        </w:rPr>
        <w:t xml:space="preserve">αφού </w:t>
      </w:r>
      <w:r w:rsidR="00A1528A" w:rsidRPr="00FB423F">
        <w:rPr>
          <w:rFonts w:ascii="Times New Roman" w:eastAsia="Times New Roman" w:hAnsi="Times New Roman" w:cs="Times New Roman"/>
          <w:b/>
          <w:sz w:val="24"/>
          <w:szCs w:val="24"/>
        </w:rPr>
        <w:t>διατηρείται η κυριαρχία των ορυκτών καυσίμων</w:t>
      </w:r>
      <w:r w:rsidR="00A1528A" w:rsidRPr="005C0774">
        <w:rPr>
          <w:rFonts w:ascii="Times New Roman" w:eastAsia="Times New Roman" w:hAnsi="Times New Roman" w:cs="Times New Roman"/>
          <w:b/>
          <w:sz w:val="24"/>
          <w:szCs w:val="24"/>
        </w:rPr>
        <w:t>στο 85,14</w:t>
      </w:r>
      <w:r w:rsidR="00A1528A">
        <w:rPr>
          <w:rFonts w:ascii="Times New Roman" w:eastAsia="Times New Roman" w:hAnsi="Times New Roman" w:cs="Times New Roman"/>
          <w:sz w:val="24"/>
          <w:szCs w:val="24"/>
        </w:rPr>
        <w:t>% (2</w:t>
      </w:r>
      <w:r w:rsidR="00A04A0E">
        <w:rPr>
          <w:rFonts w:ascii="Times New Roman" w:eastAsia="Times New Roman" w:hAnsi="Times New Roman" w:cs="Times New Roman"/>
          <w:sz w:val="24"/>
          <w:szCs w:val="24"/>
        </w:rPr>
        <w:t>3</w:t>
      </w:r>
      <w:r w:rsidR="00A1528A">
        <w:rPr>
          <w:rFonts w:ascii="Times New Roman" w:eastAsia="Times New Roman" w:hAnsi="Times New Roman" w:cs="Times New Roman"/>
          <w:sz w:val="24"/>
          <w:szCs w:val="24"/>
        </w:rPr>
        <w:t>,</w:t>
      </w:r>
      <w:r w:rsidR="00A04A0E">
        <w:rPr>
          <w:rFonts w:ascii="Times New Roman" w:eastAsia="Times New Roman" w:hAnsi="Times New Roman" w:cs="Times New Roman"/>
          <w:sz w:val="24"/>
          <w:szCs w:val="24"/>
        </w:rPr>
        <w:t>0</w:t>
      </w:r>
      <w:r w:rsidR="00A1528A">
        <w:rPr>
          <w:rFonts w:ascii="Times New Roman" w:eastAsia="Times New Roman" w:hAnsi="Times New Roman" w:cs="Times New Roman"/>
          <w:sz w:val="24"/>
          <w:szCs w:val="24"/>
        </w:rPr>
        <w:t>% λιγνίτης, 5</w:t>
      </w:r>
      <w:r w:rsidR="00A04A0E">
        <w:rPr>
          <w:rFonts w:ascii="Times New Roman" w:eastAsia="Times New Roman" w:hAnsi="Times New Roman" w:cs="Times New Roman"/>
          <w:sz w:val="24"/>
          <w:szCs w:val="24"/>
        </w:rPr>
        <w:t>1,2</w:t>
      </w:r>
      <w:r w:rsidR="00C53EEA">
        <w:rPr>
          <w:rFonts w:ascii="Times New Roman" w:eastAsia="Times New Roman" w:hAnsi="Times New Roman" w:cs="Times New Roman"/>
          <w:sz w:val="24"/>
          <w:szCs w:val="24"/>
        </w:rPr>
        <w:t>% πετρέλαιο, 10,98</w:t>
      </w:r>
      <w:r w:rsidR="00A1528A">
        <w:rPr>
          <w:rFonts w:ascii="Times New Roman" w:eastAsia="Times New Roman" w:hAnsi="Times New Roman" w:cs="Times New Roman"/>
          <w:sz w:val="24"/>
          <w:szCs w:val="24"/>
        </w:rPr>
        <w:t xml:space="preserve">% Φ.Α), </w:t>
      </w:r>
      <w:r w:rsidR="00A1528A" w:rsidRPr="00D314A0">
        <w:rPr>
          <w:rFonts w:ascii="Times New Roman" w:eastAsia="Times New Roman" w:hAnsi="Times New Roman" w:cs="Times New Roman"/>
          <w:b/>
          <w:sz w:val="24"/>
          <w:szCs w:val="24"/>
        </w:rPr>
        <w:t>ενώ η σημαντικότητα της αύξησης της συμμετοχής των ΑΠΕ</w:t>
      </w:r>
      <w:r w:rsidR="00A1528A">
        <w:rPr>
          <w:rFonts w:ascii="Times New Roman" w:eastAsia="Times New Roman" w:hAnsi="Times New Roman" w:cs="Times New Roman"/>
          <w:sz w:val="24"/>
          <w:szCs w:val="24"/>
        </w:rPr>
        <w:t xml:space="preserve"> που φθάνουν στους 2,773 εκατ. Τ.Ι.Π ή πο</w:t>
      </w:r>
      <w:r w:rsidR="00C53EEA">
        <w:rPr>
          <w:rFonts w:ascii="Times New Roman" w:eastAsia="Times New Roman" w:hAnsi="Times New Roman" w:cs="Times New Roman"/>
          <w:sz w:val="24"/>
          <w:szCs w:val="24"/>
        </w:rPr>
        <w:t>σοστό 11,37</w:t>
      </w:r>
      <w:r w:rsidR="00A1528A">
        <w:rPr>
          <w:rFonts w:ascii="Times New Roman" w:eastAsia="Times New Roman" w:hAnsi="Times New Roman" w:cs="Times New Roman"/>
          <w:sz w:val="24"/>
          <w:szCs w:val="24"/>
        </w:rPr>
        <w:t>%, περιορίζε</w:t>
      </w:r>
      <w:r w:rsidR="00C53EEA">
        <w:rPr>
          <w:rFonts w:ascii="Times New Roman" w:eastAsia="Times New Roman" w:hAnsi="Times New Roman" w:cs="Times New Roman"/>
          <w:sz w:val="24"/>
          <w:szCs w:val="24"/>
        </w:rPr>
        <w:t>ται από το γεγονός ότι το 36,53</w:t>
      </w:r>
      <w:r w:rsidR="00A1528A">
        <w:rPr>
          <w:rFonts w:ascii="Times New Roman" w:eastAsia="Times New Roman" w:hAnsi="Times New Roman" w:cs="Times New Roman"/>
          <w:sz w:val="24"/>
          <w:szCs w:val="24"/>
        </w:rPr>
        <w:t xml:space="preserve">% της συνολικής εγχώριας κατανάλωσης </w:t>
      </w:r>
      <w:r w:rsidR="00201CD4">
        <w:rPr>
          <w:rFonts w:ascii="Times New Roman" w:eastAsia="Times New Roman" w:hAnsi="Times New Roman" w:cs="Times New Roman"/>
          <w:sz w:val="24"/>
          <w:szCs w:val="24"/>
        </w:rPr>
        <w:t xml:space="preserve">ΑΠΕ </w:t>
      </w:r>
      <w:r w:rsidR="00A1528A">
        <w:rPr>
          <w:rFonts w:ascii="Times New Roman" w:eastAsia="Times New Roman" w:hAnsi="Times New Roman" w:cs="Times New Roman"/>
          <w:sz w:val="24"/>
          <w:szCs w:val="24"/>
        </w:rPr>
        <w:t xml:space="preserve">οφείλεται στη στερεά βιομάζα </w:t>
      </w:r>
      <w:r w:rsidR="00201CD4">
        <w:rPr>
          <w:rFonts w:ascii="Times New Roman" w:eastAsia="Times New Roman" w:hAnsi="Times New Roman" w:cs="Times New Roman"/>
          <w:sz w:val="24"/>
          <w:szCs w:val="24"/>
        </w:rPr>
        <w:t xml:space="preserve">(1,053 εκατ. Τ.Ι.Π) </w:t>
      </w:r>
      <w:r w:rsidR="004C52EF">
        <w:rPr>
          <w:rFonts w:ascii="Times New Roman" w:eastAsia="Times New Roman" w:hAnsi="Times New Roman" w:cs="Times New Roman"/>
          <w:sz w:val="24"/>
          <w:szCs w:val="24"/>
        </w:rPr>
        <w:t>και το 18,89</w:t>
      </w:r>
      <w:r w:rsidR="00A1528A">
        <w:rPr>
          <w:rFonts w:ascii="Times New Roman" w:eastAsia="Times New Roman" w:hAnsi="Times New Roman" w:cs="Times New Roman"/>
          <w:sz w:val="24"/>
          <w:szCs w:val="24"/>
        </w:rPr>
        <w:t>% στην υδροηλεκτρική ενέργεια</w:t>
      </w:r>
      <w:r w:rsidR="00201CD4">
        <w:rPr>
          <w:rFonts w:ascii="Times New Roman" w:eastAsia="Times New Roman" w:hAnsi="Times New Roman" w:cs="Times New Roman"/>
          <w:sz w:val="24"/>
          <w:szCs w:val="24"/>
        </w:rPr>
        <w:t xml:space="preserve"> (524 εκατ. Τ.Ι.Π)</w:t>
      </w:r>
      <w:r w:rsidR="00A1528A">
        <w:rPr>
          <w:rFonts w:ascii="Times New Roman" w:eastAsia="Times New Roman" w:hAnsi="Times New Roman" w:cs="Times New Roman"/>
          <w:sz w:val="24"/>
          <w:szCs w:val="24"/>
        </w:rPr>
        <w:t xml:space="preserve">, επί πλέον δε και το πλέον σημαντικό ιδιαίτερα </w:t>
      </w:r>
      <w:r w:rsidR="00A1528A" w:rsidRPr="00FB423F">
        <w:rPr>
          <w:rFonts w:ascii="Times New Roman" w:eastAsia="Times New Roman" w:hAnsi="Times New Roman" w:cs="Times New Roman"/>
          <w:b/>
          <w:sz w:val="24"/>
          <w:szCs w:val="24"/>
        </w:rPr>
        <w:t>προβληματική αποδείχθηκε η ανορθολογική ανάπτυξη</w:t>
      </w:r>
      <w:r w:rsidR="00A1528A">
        <w:rPr>
          <w:rFonts w:ascii="Times New Roman" w:eastAsia="Times New Roman" w:hAnsi="Times New Roman" w:cs="Times New Roman"/>
          <w:sz w:val="24"/>
          <w:szCs w:val="24"/>
        </w:rPr>
        <w:t xml:space="preserve"> των ΑΠΕ που βασίσθηκε σε ένα πλαίσιο παράλογων επιδοτήσεων.</w:t>
      </w:r>
    </w:p>
    <w:p w:rsidR="00094267" w:rsidRDefault="00A1528A" w:rsidP="00952450">
      <w:pPr>
        <w:spacing w:before="100" w:beforeAutospacing="1" w:after="120" w:line="360" w:lineRule="auto"/>
        <w:jc w:val="both"/>
        <w:textAlignment w:val="top"/>
        <w:rPr>
          <w:rFonts w:ascii="Times New Roman" w:eastAsia="Times New Roman" w:hAnsi="Times New Roman" w:cs="Times New Roman"/>
          <w:sz w:val="24"/>
          <w:szCs w:val="24"/>
        </w:rPr>
      </w:pPr>
      <w:r w:rsidRPr="00FB423F">
        <w:rPr>
          <w:rFonts w:ascii="Times New Roman" w:eastAsia="Times New Roman" w:hAnsi="Times New Roman" w:cs="Times New Roman"/>
          <w:b/>
          <w:sz w:val="24"/>
          <w:szCs w:val="24"/>
        </w:rPr>
        <w:t xml:space="preserve">Όσον </w:t>
      </w:r>
      <w:r w:rsidR="00D75176" w:rsidRPr="00FB423F">
        <w:rPr>
          <w:rFonts w:ascii="Times New Roman" w:eastAsia="Times New Roman" w:hAnsi="Times New Roman" w:cs="Times New Roman"/>
          <w:b/>
          <w:sz w:val="24"/>
          <w:szCs w:val="24"/>
        </w:rPr>
        <w:t xml:space="preserve">αφορά τα ζητήματα </w:t>
      </w:r>
      <w:r w:rsidR="00094267" w:rsidRPr="00FB423F">
        <w:rPr>
          <w:rFonts w:ascii="Times New Roman" w:eastAsia="Times New Roman" w:hAnsi="Times New Roman" w:cs="Times New Roman"/>
          <w:b/>
          <w:sz w:val="24"/>
          <w:szCs w:val="24"/>
        </w:rPr>
        <w:t>ενεργειακής απόδοσης και εξοικονόμησης ενέργειας</w:t>
      </w:r>
      <w:r w:rsidR="00094267">
        <w:rPr>
          <w:rFonts w:ascii="Times New Roman" w:eastAsia="Times New Roman" w:hAnsi="Times New Roman" w:cs="Times New Roman"/>
          <w:sz w:val="24"/>
          <w:szCs w:val="24"/>
        </w:rPr>
        <w:t xml:space="preserve"> σημαντικός κρίνεται ο </w:t>
      </w:r>
      <w:r w:rsidR="00094267" w:rsidRPr="00FB423F">
        <w:rPr>
          <w:rFonts w:ascii="Times New Roman" w:eastAsia="Times New Roman" w:hAnsi="Times New Roman" w:cs="Times New Roman"/>
          <w:b/>
          <w:sz w:val="24"/>
          <w:szCs w:val="24"/>
        </w:rPr>
        <w:t xml:space="preserve">περιορισμός της αυξητικής τάσης του ρυθμού μεταβολής </w:t>
      </w:r>
      <w:r w:rsidR="00094267">
        <w:rPr>
          <w:rFonts w:ascii="Times New Roman" w:eastAsia="Times New Roman" w:hAnsi="Times New Roman" w:cs="Times New Roman"/>
          <w:sz w:val="24"/>
          <w:szCs w:val="24"/>
        </w:rPr>
        <w:t xml:space="preserve">της πρωτογενούς </w:t>
      </w:r>
      <w:r w:rsidR="00094267" w:rsidRPr="00FB423F">
        <w:rPr>
          <w:rFonts w:ascii="Times New Roman" w:eastAsia="Times New Roman" w:hAnsi="Times New Roman" w:cs="Times New Roman"/>
          <w:b/>
          <w:sz w:val="24"/>
          <w:szCs w:val="24"/>
        </w:rPr>
        <w:t>ενεργειακής έντασης</w:t>
      </w:r>
      <w:r w:rsidR="00094267" w:rsidRPr="005C0774">
        <w:rPr>
          <w:rFonts w:ascii="Times New Roman" w:eastAsia="Times New Roman" w:hAnsi="Times New Roman" w:cs="Times New Roman"/>
          <w:b/>
          <w:sz w:val="24"/>
          <w:szCs w:val="24"/>
        </w:rPr>
        <w:t>του τομέα της βιομηχανίας</w:t>
      </w:r>
      <w:r w:rsidR="00F14AF9">
        <w:rPr>
          <w:rFonts w:ascii="Times New Roman" w:eastAsia="Times New Roman" w:hAnsi="Times New Roman" w:cs="Times New Roman"/>
          <w:sz w:val="24"/>
          <w:szCs w:val="24"/>
        </w:rPr>
        <w:t xml:space="preserve"> από 0,4</w:t>
      </w:r>
      <w:r w:rsidR="00094267">
        <w:rPr>
          <w:rFonts w:ascii="Times New Roman" w:eastAsia="Times New Roman" w:hAnsi="Times New Roman" w:cs="Times New Roman"/>
          <w:sz w:val="24"/>
          <w:szCs w:val="24"/>
        </w:rPr>
        <w:t xml:space="preserve">% για το σύνολο της περιόδου 1990-2014 σε 0,0% για την περίοδο 2000-2014, αντίστοιχα δε </w:t>
      </w:r>
      <w:r w:rsidR="00094267" w:rsidRPr="005C0774">
        <w:rPr>
          <w:rFonts w:ascii="Times New Roman" w:eastAsia="Times New Roman" w:hAnsi="Times New Roman" w:cs="Times New Roman"/>
          <w:b/>
          <w:sz w:val="24"/>
          <w:szCs w:val="24"/>
        </w:rPr>
        <w:t>της οικιακής κατανάλωσης</w:t>
      </w:r>
      <w:r w:rsidR="00F14AF9">
        <w:rPr>
          <w:rFonts w:ascii="Times New Roman" w:eastAsia="Times New Roman" w:hAnsi="Times New Roman" w:cs="Times New Roman"/>
          <w:sz w:val="24"/>
          <w:szCs w:val="24"/>
        </w:rPr>
        <w:t xml:space="preserve"> από 2,2% σε 1,1</w:t>
      </w:r>
      <w:r w:rsidR="00094267">
        <w:rPr>
          <w:rFonts w:ascii="Times New Roman" w:eastAsia="Times New Roman" w:hAnsi="Times New Roman" w:cs="Times New Roman"/>
          <w:sz w:val="24"/>
          <w:szCs w:val="24"/>
        </w:rPr>
        <w:t xml:space="preserve">%, </w:t>
      </w:r>
      <w:r w:rsidR="00094267" w:rsidRPr="005C0774">
        <w:rPr>
          <w:rFonts w:ascii="Times New Roman" w:eastAsia="Times New Roman" w:hAnsi="Times New Roman" w:cs="Times New Roman"/>
          <w:b/>
          <w:sz w:val="24"/>
          <w:szCs w:val="24"/>
        </w:rPr>
        <w:t>των Υπηρεσιών</w:t>
      </w:r>
      <w:r w:rsidR="00F14AF9">
        <w:rPr>
          <w:rFonts w:ascii="Times New Roman" w:eastAsia="Times New Roman" w:hAnsi="Times New Roman" w:cs="Times New Roman"/>
          <w:sz w:val="24"/>
          <w:szCs w:val="24"/>
        </w:rPr>
        <w:t xml:space="preserve"> από 2,2% σε 0,8</w:t>
      </w:r>
      <w:r w:rsidR="00094267">
        <w:rPr>
          <w:rFonts w:ascii="Times New Roman" w:eastAsia="Times New Roman" w:hAnsi="Times New Roman" w:cs="Times New Roman"/>
          <w:sz w:val="24"/>
          <w:szCs w:val="24"/>
        </w:rPr>
        <w:t xml:space="preserve">% </w:t>
      </w:r>
      <w:r w:rsidR="00094267" w:rsidRPr="005C0774">
        <w:rPr>
          <w:rFonts w:ascii="Times New Roman" w:eastAsia="Times New Roman" w:hAnsi="Times New Roman" w:cs="Times New Roman"/>
          <w:b/>
          <w:sz w:val="24"/>
          <w:szCs w:val="24"/>
        </w:rPr>
        <w:t>και της παραγωγής ηλεκτρικής ενέργειας</w:t>
      </w:r>
      <w:r w:rsidR="00265DCB">
        <w:rPr>
          <w:rFonts w:ascii="Times New Roman" w:eastAsia="Times New Roman" w:hAnsi="Times New Roman" w:cs="Times New Roman"/>
          <w:sz w:val="24"/>
          <w:szCs w:val="24"/>
        </w:rPr>
        <w:t xml:space="preserve"> από 0,7% σε 0,6</w:t>
      </w:r>
      <w:r w:rsidR="00094267">
        <w:rPr>
          <w:rFonts w:ascii="Times New Roman" w:eastAsia="Times New Roman" w:hAnsi="Times New Roman" w:cs="Times New Roman"/>
          <w:sz w:val="24"/>
          <w:szCs w:val="24"/>
        </w:rPr>
        <w:t>%, δείχνοντας όμως ότι είναι μακρύς ο δρόμος προς την κατεύθυνση της διαμόρφωσης ρυθμών μείωσης σε όλους τους τομείς</w:t>
      </w:r>
      <w:r w:rsidR="00D02BCE">
        <w:rPr>
          <w:rStyle w:val="a7"/>
          <w:rFonts w:ascii="Times New Roman" w:eastAsia="Times New Roman" w:hAnsi="Times New Roman" w:cs="Times New Roman"/>
          <w:sz w:val="24"/>
          <w:szCs w:val="24"/>
        </w:rPr>
        <w:footnoteReference w:id="6"/>
      </w:r>
      <w:r w:rsidR="00B7514E">
        <w:rPr>
          <w:rFonts w:ascii="Times New Roman" w:eastAsia="Times New Roman" w:hAnsi="Times New Roman" w:cs="Times New Roman"/>
          <w:sz w:val="24"/>
          <w:szCs w:val="24"/>
        </w:rPr>
        <w:t xml:space="preserve">, που αποτελεί μονόδρομο για την προσέγγιση του στόχου μείωσης των εκπομπών </w:t>
      </w:r>
      <w:r w:rsidR="00B7514E">
        <w:rPr>
          <w:rFonts w:ascii="Times New Roman" w:eastAsia="Times New Roman" w:hAnsi="Times New Roman" w:cs="Times New Roman"/>
          <w:sz w:val="24"/>
          <w:szCs w:val="24"/>
          <w:lang w:val="en-US"/>
        </w:rPr>
        <w:t>CO</w:t>
      </w:r>
      <w:r w:rsidR="00B7514E" w:rsidRPr="00B7514E">
        <w:rPr>
          <w:rFonts w:ascii="Times New Roman" w:eastAsia="Times New Roman" w:hAnsi="Times New Roman" w:cs="Times New Roman"/>
          <w:sz w:val="24"/>
          <w:szCs w:val="24"/>
          <w:vertAlign w:val="subscript"/>
        </w:rPr>
        <w:t>2</w:t>
      </w:r>
      <w:r w:rsidR="00B7514E">
        <w:rPr>
          <w:rFonts w:ascii="Times New Roman" w:eastAsia="Times New Roman" w:hAnsi="Times New Roman" w:cs="Times New Roman"/>
          <w:sz w:val="24"/>
          <w:szCs w:val="24"/>
        </w:rPr>
        <w:t xml:space="preserve">κατά </w:t>
      </w:r>
      <w:r w:rsidR="001A5445">
        <w:rPr>
          <w:rFonts w:ascii="Times New Roman" w:eastAsia="Times New Roman" w:hAnsi="Times New Roman" w:cs="Times New Roman"/>
          <w:sz w:val="24"/>
          <w:szCs w:val="24"/>
        </w:rPr>
        <w:t>40</w:t>
      </w:r>
      <w:r w:rsidR="00B7514E" w:rsidRPr="00B7514E">
        <w:rPr>
          <w:rFonts w:ascii="Times New Roman" w:eastAsia="Times New Roman" w:hAnsi="Times New Roman" w:cs="Times New Roman"/>
          <w:sz w:val="24"/>
          <w:szCs w:val="24"/>
        </w:rPr>
        <w:t xml:space="preserve">% </w:t>
      </w:r>
      <w:r w:rsidR="00B7514E">
        <w:rPr>
          <w:rFonts w:ascii="Times New Roman" w:eastAsia="Times New Roman" w:hAnsi="Times New Roman" w:cs="Times New Roman"/>
          <w:sz w:val="24"/>
          <w:szCs w:val="24"/>
        </w:rPr>
        <w:t>το20</w:t>
      </w:r>
      <w:r w:rsidR="00B7514E" w:rsidRPr="00B7514E">
        <w:rPr>
          <w:rFonts w:ascii="Times New Roman" w:eastAsia="Times New Roman" w:hAnsi="Times New Roman" w:cs="Times New Roman"/>
          <w:sz w:val="24"/>
          <w:szCs w:val="24"/>
        </w:rPr>
        <w:t>30</w:t>
      </w:r>
      <w:r w:rsidR="00094267">
        <w:rPr>
          <w:rFonts w:ascii="Times New Roman" w:eastAsia="Times New Roman" w:hAnsi="Times New Roman" w:cs="Times New Roman"/>
          <w:sz w:val="24"/>
          <w:szCs w:val="24"/>
        </w:rPr>
        <w:t>.</w:t>
      </w:r>
    </w:p>
    <w:p w:rsidR="00B76126" w:rsidRDefault="005C0774" w:rsidP="00952450">
      <w:pPr>
        <w:spacing w:before="100" w:beforeAutospacing="1" w:after="120" w:line="360" w:lineRule="auto"/>
        <w:jc w:val="both"/>
        <w:textAlignment w:val="top"/>
        <w:rPr>
          <w:rFonts w:ascii="Times New Roman" w:eastAsia="Times New Roman" w:hAnsi="Times New Roman" w:cs="Times New Roman"/>
          <w:sz w:val="24"/>
          <w:szCs w:val="24"/>
        </w:rPr>
      </w:pPr>
      <w:r w:rsidRPr="005C0774">
        <w:rPr>
          <w:rFonts w:ascii="Times New Roman" w:eastAsia="Times New Roman" w:hAnsi="Times New Roman" w:cs="Times New Roman"/>
          <w:b/>
          <w:sz w:val="24"/>
          <w:szCs w:val="24"/>
        </w:rPr>
        <w:t>Σ</w:t>
      </w:r>
      <w:r w:rsidR="00094267" w:rsidRPr="005C0774">
        <w:rPr>
          <w:rFonts w:ascii="Times New Roman" w:eastAsia="Times New Roman" w:hAnsi="Times New Roman" w:cs="Times New Roman"/>
          <w:b/>
          <w:sz w:val="24"/>
          <w:szCs w:val="24"/>
        </w:rPr>
        <w:t>τ</w:t>
      </w:r>
      <w:r w:rsidR="00094267" w:rsidRPr="00FB423F">
        <w:rPr>
          <w:rFonts w:ascii="Times New Roman" w:eastAsia="Times New Roman" w:hAnsi="Times New Roman" w:cs="Times New Roman"/>
          <w:b/>
          <w:sz w:val="24"/>
          <w:szCs w:val="24"/>
        </w:rPr>
        <w:t>ο πλαίσιο της ενίσχυσης της ανταγωνιστικότητας</w:t>
      </w:r>
      <w:r w:rsidR="00094267">
        <w:rPr>
          <w:rFonts w:ascii="Times New Roman" w:eastAsia="Times New Roman" w:hAnsi="Times New Roman" w:cs="Times New Roman"/>
          <w:sz w:val="24"/>
          <w:szCs w:val="24"/>
        </w:rPr>
        <w:t xml:space="preserve">, </w:t>
      </w:r>
      <w:r w:rsidR="00094267" w:rsidRPr="005C0774">
        <w:rPr>
          <w:rFonts w:ascii="Times New Roman" w:eastAsia="Times New Roman" w:hAnsi="Times New Roman" w:cs="Times New Roman"/>
          <w:b/>
          <w:sz w:val="24"/>
          <w:szCs w:val="24"/>
        </w:rPr>
        <w:t>του περιορισμού του ενεργειακού κόστους</w:t>
      </w:r>
      <w:r w:rsidR="00094267" w:rsidRPr="00FB423F">
        <w:rPr>
          <w:rFonts w:ascii="Times New Roman" w:eastAsia="Times New Roman" w:hAnsi="Times New Roman" w:cs="Times New Roman"/>
          <w:b/>
          <w:sz w:val="24"/>
          <w:szCs w:val="24"/>
        </w:rPr>
        <w:t>και της</w:t>
      </w:r>
      <w:r w:rsidR="00094267">
        <w:rPr>
          <w:rFonts w:ascii="Times New Roman" w:eastAsia="Times New Roman" w:hAnsi="Times New Roman" w:cs="Times New Roman"/>
          <w:sz w:val="24"/>
          <w:szCs w:val="24"/>
        </w:rPr>
        <w:t xml:space="preserve"> περαιτέρω </w:t>
      </w:r>
      <w:r w:rsidR="00094267" w:rsidRPr="00FB423F">
        <w:rPr>
          <w:rFonts w:ascii="Times New Roman" w:eastAsia="Times New Roman" w:hAnsi="Times New Roman" w:cs="Times New Roman"/>
          <w:b/>
          <w:sz w:val="24"/>
          <w:szCs w:val="24"/>
        </w:rPr>
        <w:t>ενίσχυσης της ενεργειακής ασφάλειας</w:t>
      </w:r>
      <w:r w:rsidR="00B76126">
        <w:rPr>
          <w:rFonts w:ascii="Times New Roman" w:eastAsia="Times New Roman" w:hAnsi="Times New Roman" w:cs="Times New Roman"/>
          <w:sz w:val="24"/>
          <w:szCs w:val="24"/>
        </w:rPr>
        <w:t xml:space="preserve">εντάσσονται </w:t>
      </w:r>
      <w:r w:rsidR="00B76126" w:rsidRPr="005C0774">
        <w:rPr>
          <w:rFonts w:ascii="Times New Roman" w:eastAsia="Times New Roman" w:hAnsi="Times New Roman" w:cs="Times New Roman"/>
          <w:b/>
          <w:sz w:val="24"/>
          <w:szCs w:val="24"/>
        </w:rPr>
        <w:t>οι μεταρρυθμίσεις</w:t>
      </w:r>
      <w:r w:rsidR="00B76126">
        <w:rPr>
          <w:rFonts w:ascii="Times New Roman" w:eastAsia="Times New Roman" w:hAnsi="Times New Roman" w:cs="Times New Roman"/>
          <w:sz w:val="24"/>
          <w:szCs w:val="24"/>
        </w:rPr>
        <w:t xml:space="preserve"> προς την κατεύθυνση της απελευθέρωσης </w:t>
      </w:r>
      <w:r w:rsidR="00B76126" w:rsidRPr="005C0774">
        <w:rPr>
          <w:rFonts w:ascii="Times New Roman" w:eastAsia="Times New Roman" w:hAnsi="Times New Roman" w:cs="Times New Roman"/>
          <w:b/>
          <w:sz w:val="24"/>
          <w:szCs w:val="24"/>
        </w:rPr>
        <w:lastRenderedPageBreak/>
        <w:t>των αγορώνηλεκτρισμού</w:t>
      </w:r>
      <w:r w:rsidR="00B76126">
        <w:rPr>
          <w:rFonts w:ascii="Times New Roman" w:eastAsia="Times New Roman" w:hAnsi="Times New Roman" w:cs="Times New Roman"/>
          <w:sz w:val="24"/>
          <w:szCs w:val="24"/>
        </w:rPr>
        <w:t xml:space="preserve"> και </w:t>
      </w:r>
      <w:r w:rsidR="00B76126" w:rsidRPr="005C0774">
        <w:rPr>
          <w:rFonts w:ascii="Times New Roman" w:eastAsia="Times New Roman" w:hAnsi="Times New Roman" w:cs="Times New Roman"/>
          <w:b/>
          <w:sz w:val="24"/>
          <w:szCs w:val="24"/>
        </w:rPr>
        <w:t>φυσικού αερίου</w:t>
      </w:r>
      <w:r w:rsidR="00B76126">
        <w:rPr>
          <w:rFonts w:ascii="Times New Roman" w:eastAsia="Times New Roman" w:hAnsi="Times New Roman" w:cs="Times New Roman"/>
          <w:sz w:val="24"/>
          <w:szCs w:val="24"/>
        </w:rPr>
        <w:t xml:space="preserve"> με κεντρικό σημείο αναφοράς την </w:t>
      </w:r>
      <w:r w:rsidR="00B76126" w:rsidRPr="005C0774">
        <w:rPr>
          <w:rFonts w:ascii="Times New Roman" w:eastAsia="Times New Roman" w:hAnsi="Times New Roman" w:cs="Times New Roman"/>
          <w:b/>
          <w:sz w:val="24"/>
          <w:szCs w:val="24"/>
        </w:rPr>
        <w:t>μετάβασηαπό μια εθνική μονοπωλιακή</w:t>
      </w:r>
      <w:r w:rsidR="00B76126">
        <w:rPr>
          <w:rFonts w:ascii="Times New Roman" w:eastAsia="Times New Roman" w:hAnsi="Times New Roman" w:cs="Times New Roman"/>
          <w:sz w:val="24"/>
          <w:szCs w:val="24"/>
        </w:rPr>
        <w:t xml:space="preserve"> αγορά σε μια ενιαία ευρωπαϊκή αγορά μέσω της σύζευξης όλων των ευρωπαϊκών αγορών</w:t>
      </w:r>
      <w:r w:rsidR="00772369">
        <w:rPr>
          <w:rFonts w:ascii="Times New Roman" w:eastAsia="Times New Roman" w:hAnsi="Times New Roman" w:cs="Times New Roman"/>
          <w:sz w:val="24"/>
          <w:szCs w:val="24"/>
        </w:rPr>
        <w:t>,</w:t>
      </w:r>
      <w:r w:rsidR="00B76126">
        <w:rPr>
          <w:rFonts w:ascii="Times New Roman" w:eastAsia="Times New Roman" w:hAnsi="Times New Roman" w:cs="Times New Roman"/>
          <w:sz w:val="24"/>
          <w:szCs w:val="24"/>
        </w:rPr>
        <w:t xml:space="preserve"> ώστε να διασφαλίζεται ο απρόσκοπτος εφοδιασμός των καταναλωτών σε προσιτές τιμές (</w:t>
      </w:r>
      <w:r w:rsidR="00B76126">
        <w:rPr>
          <w:rFonts w:ascii="Times New Roman" w:eastAsia="Times New Roman" w:hAnsi="Times New Roman" w:cs="Times New Roman"/>
          <w:sz w:val="24"/>
          <w:szCs w:val="24"/>
          <w:lang w:val="en-US"/>
        </w:rPr>
        <w:t>TargetModel</w:t>
      </w:r>
      <w:r w:rsidR="00B76126" w:rsidRPr="00B7612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7514E" w:rsidRDefault="00B7514E" w:rsidP="0095245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Επίσης, </w:t>
      </w:r>
      <w:r w:rsidRPr="00E37DD1">
        <w:rPr>
          <w:rFonts w:ascii="Times New Roman" w:eastAsia="Times New Roman" w:hAnsi="Times New Roman" w:cs="Times New Roman"/>
          <w:b/>
          <w:sz w:val="24"/>
          <w:szCs w:val="24"/>
        </w:rPr>
        <w:t>ιδιαίτερης σημασίας</w:t>
      </w:r>
      <w:r>
        <w:rPr>
          <w:rFonts w:ascii="Times New Roman" w:eastAsia="Times New Roman" w:hAnsi="Times New Roman" w:cs="Times New Roman"/>
          <w:sz w:val="24"/>
          <w:szCs w:val="24"/>
        </w:rPr>
        <w:t xml:space="preserve"> για την ενεργειακή μετάβαση, την </w:t>
      </w:r>
      <w:r w:rsidRPr="00E37DD1">
        <w:rPr>
          <w:rFonts w:ascii="Times New Roman" w:eastAsia="Times New Roman" w:hAnsi="Times New Roman" w:cs="Times New Roman"/>
          <w:b/>
          <w:sz w:val="24"/>
          <w:szCs w:val="24"/>
        </w:rPr>
        <w:t>ενίσχυση της ενεργειακής ασφάλειας</w:t>
      </w:r>
      <w:r>
        <w:rPr>
          <w:rFonts w:ascii="Times New Roman" w:eastAsia="Times New Roman" w:hAnsi="Times New Roman" w:cs="Times New Roman"/>
          <w:sz w:val="24"/>
          <w:szCs w:val="24"/>
        </w:rPr>
        <w:t xml:space="preserve"> και </w:t>
      </w:r>
      <w:r w:rsidRPr="00E37DD1">
        <w:rPr>
          <w:rFonts w:ascii="Times New Roman" w:eastAsia="Times New Roman" w:hAnsi="Times New Roman" w:cs="Times New Roman"/>
          <w:b/>
          <w:sz w:val="24"/>
          <w:szCs w:val="24"/>
        </w:rPr>
        <w:t>τις αναπτυξιακές προοπτικές της χώρας</w:t>
      </w:r>
      <w:r>
        <w:rPr>
          <w:rFonts w:ascii="Times New Roman" w:eastAsia="Times New Roman" w:hAnsi="Times New Roman" w:cs="Times New Roman"/>
          <w:sz w:val="24"/>
          <w:szCs w:val="24"/>
        </w:rPr>
        <w:t>, κρίνεται η υλοποίηση των ήδη δρομολογημένων προγραμμάτων Έρευνας και Παραγωγής Υδρογονανθράκων με την συμμετοχή κορυφαίων παγκοσμίως ενεργειακών εταιρειών.</w:t>
      </w:r>
    </w:p>
    <w:p w:rsidR="00B7514E" w:rsidRPr="00E37DD1" w:rsidRDefault="00B7514E" w:rsidP="00952450">
      <w:pPr>
        <w:spacing w:before="100" w:beforeAutospacing="1" w:after="120" w:line="360" w:lineRule="auto"/>
        <w:jc w:val="both"/>
        <w:textAlignment w:val="top"/>
        <w:rPr>
          <w:rFonts w:ascii="Times New Roman" w:eastAsia="Times New Roman" w:hAnsi="Times New Roman" w:cs="Times New Roman"/>
          <w:b/>
          <w:sz w:val="24"/>
          <w:szCs w:val="24"/>
        </w:rPr>
      </w:pPr>
      <w:r>
        <w:rPr>
          <w:rFonts w:ascii="Times New Roman" w:eastAsia="Times New Roman" w:hAnsi="Times New Roman" w:cs="Times New Roman"/>
          <w:sz w:val="24"/>
          <w:szCs w:val="24"/>
        </w:rPr>
        <w:t>Εν όψει αυτών των εξελίξεων και τ</w:t>
      </w:r>
      <w:r w:rsidR="009F2664">
        <w:rPr>
          <w:rFonts w:ascii="Times New Roman" w:eastAsia="Times New Roman" w:hAnsi="Times New Roman" w:cs="Times New Roman"/>
          <w:sz w:val="24"/>
          <w:szCs w:val="24"/>
        </w:rPr>
        <w:t>ου</w:t>
      </w:r>
      <w:r>
        <w:rPr>
          <w:rFonts w:ascii="Times New Roman" w:eastAsia="Times New Roman" w:hAnsi="Times New Roman" w:cs="Times New Roman"/>
          <w:sz w:val="24"/>
          <w:szCs w:val="24"/>
        </w:rPr>
        <w:t xml:space="preserve"> επιβεβαιωμέν</w:t>
      </w:r>
      <w:r w:rsidR="009F2664">
        <w:rPr>
          <w:rFonts w:ascii="Times New Roman" w:eastAsia="Times New Roman" w:hAnsi="Times New Roman" w:cs="Times New Roman"/>
          <w:sz w:val="24"/>
          <w:szCs w:val="24"/>
        </w:rPr>
        <w:t>ου πλέον επενδυτικού ενδιαφέροντος καθίσταται προφανές ότι πρέπει να εντατικοποιηθούν οι ενέργειες για την άρση των γραφειοκρατικών προαπαιτούμενων</w:t>
      </w:r>
      <w:r w:rsidR="00DA3B41">
        <w:rPr>
          <w:rFonts w:ascii="Times New Roman" w:eastAsia="Times New Roman" w:hAnsi="Times New Roman" w:cs="Times New Roman"/>
          <w:sz w:val="24"/>
          <w:szCs w:val="24"/>
        </w:rPr>
        <w:t>,</w:t>
      </w:r>
      <w:r w:rsidR="009F2664" w:rsidRPr="00E37DD1">
        <w:rPr>
          <w:rFonts w:ascii="Times New Roman" w:eastAsia="Times New Roman" w:hAnsi="Times New Roman" w:cs="Times New Roman"/>
          <w:b/>
          <w:sz w:val="24"/>
          <w:szCs w:val="24"/>
        </w:rPr>
        <w:t>αφ’ ενός μεν για την διεύ</w:t>
      </w:r>
      <w:r w:rsidR="00DA3B41" w:rsidRPr="00E37DD1">
        <w:rPr>
          <w:rFonts w:ascii="Times New Roman" w:eastAsia="Times New Roman" w:hAnsi="Times New Roman" w:cs="Times New Roman"/>
          <w:b/>
          <w:sz w:val="24"/>
          <w:szCs w:val="24"/>
        </w:rPr>
        <w:t>ρυ</w:t>
      </w:r>
      <w:r w:rsidR="009F2664" w:rsidRPr="00E37DD1">
        <w:rPr>
          <w:rFonts w:ascii="Times New Roman" w:eastAsia="Times New Roman" w:hAnsi="Times New Roman" w:cs="Times New Roman"/>
          <w:b/>
          <w:sz w:val="24"/>
          <w:szCs w:val="24"/>
        </w:rPr>
        <w:t xml:space="preserve">νση των προς έρευνα περιοχών </w:t>
      </w:r>
      <w:r w:rsidR="009F2664">
        <w:rPr>
          <w:rFonts w:ascii="Times New Roman" w:eastAsia="Times New Roman" w:hAnsi="Times New Roman" w:cs="Times New Roman"/>
          <w:sz w:val="24"/>
          <w:szCs w:val="24"/>
        </w:rPr>
        <w:t xml:space="preserve">και τον καθορισμό των θαλασσίων ορίων υφαλοκρηπίδας, κατ’ αρχή τουλάχιστον με τις γειτονικές χώρες </w:t>
      </w:r>
      <w:r w:rsidR="00DA3B41">
        <w:rPr>
          <w:rFonts w:ascii="Times New Roman" w:eastAsia="Times New Roman" w:hAnsi="Times New Roman" w:cs="Times New Roman"/>
          <w:sz w:val="24"/>
          <w:szCs w:val="24"/>
        </w:rPr>
        <w:t xml:space="preserve">που δεν υπάρχουν ανυπέρβλητα προβλήματα (Αίγυπτος, Λιβύη, Ιταλία), </w:t>
      </w:r>
      <w:r w:rsidR="00DA3B41" w:rsidRPr="00E37DD1">
        <w:rPr>
          <w:rFonts w:ascii="Times New Roman" w:eastAsia="Times New Roman" w:hAnsi="Times New Roman" w:cs="Times New Roman"/>
          <w:b/>
          <w:sz w:val="24"/>
          <w:szCs w:val="24"/>
        </w:rPr>
        <w:t>αφ’ ετέρου</w:t>
      </w:r>
      <w:r w:rsidR="00DA3B41">
        <w:rPr>
          <w:rFonts w:ascii="Times New Roman" w:eastAsia="Times New Roman" w:hAnsi="Times New Roman" w:cs="Times New Roman"/>
          <w:sz w:val="24"/>
          <w:szCs w:val="24"/>
        </w:rPr>
        <w:t xml:space="preserve"> δε για την μείωση των διαδικασιών  παραχώρησης δικαιωμάτων </w:t>
      </w:r>
      <w:r w:rsidR="00DA3B41" w:rsidRPr="00E37DD1">
        <w:rPr>
          <w:rFonts w:ascii="Times New Roman" w:eastAsia="Times New Roman" w:hAnsi="Times New Roman" w:cs="Times New Roman"/>
          <w:b/>
          <w:sz w:val="24"/>
          <w:szCs w:val="24"/>
        </w:rPr>
        <w:t xml:space="preserve">με την υιοθέτηση ενός ευέλικτου και αποτελεσματικού μοντέλου εποπτείας. </w:t>
      </w:r>
    </w:p>
    <w:p w:rsidR="005C0774" w:rsidRPr="008D41A9" w:rsidRDefault="00D00485" w:rsidP="0095245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Σύμφωνα με πρόσφατη ημερίδα της Ακαδημίας Αθηνών </w:t>
      </w:r>
      <w:r w:rsidR="008D41A9" w:rsidRPr="008D41A9">
        <w:rPr>
          <w:rFonts w:ascii="Times New Roman" w:eastAsia="Times New Roman" w:hAnsi="Times New Roman" w:cs="Times New Roman"/>
          <w:sz w:val="24"/>
          <w:szCs w:val="24"/>
        </w:rPr>
        <w:t>«</w:t>
      </w:r>
      <w:r w:rsidRPr="008D41A9">
        <w:rPr>
          <w:rFonts w:ascii="Times New Roman" w:eastAsia="Times New Roman" w:hAnsi="Times New Roman" w:cs="Times New Roman"/>
          <w:sz w:val="24"/>
          <w:szCs w:val="24"/>
        </w:rPr>
        <w:t>..</w:t>
      </w:r>
      <w:r w:rsidRPr="008D41A9">
        <w:rPr>
          <w:rFonts w:ascii="Times New Roman" w:hAnsi="Times New Roman" w:cs="Times New Roman"/>
          <w:i/>
          <w:sz w:val="24"/>
          <w:szCs w:val="24"/>
        </w:rPr>
        <w:t xml:space="preserve">Η ενεργειακή μετάβαση για την Ελλάδα θα αποτελέσει </w:t>
      </w:r>
      <w:r w:rsidRPr="008D41A9">
        <w:rPr>
          <w:rStyle w:val="a9"/>
          <w:rFonts w:ascii="Times New Roman" w:hAnsi="Times New Roman" w:cs="Times New Roman"/>
          <w:i/>
          <w:sz w:val="24"/>
          <w:szCs w:val="24"/>
        </w:rPr>
        <w:t>προοπτική και ευκαιρία για σημαντικές επενδυτικές πρωτοβουλίες.</w:t>
      </w:r>
      <w:r w:rsidRPr="008D41A9">
        <w:rPr>
          <w:rFonts w:ascii="Times New Roman" w:hAnsi="Times New Roman" w:cs="Times New Roman"/>
          <w:i/>
          <w:sz w:val="24"/>
          <w:szCs w:val="24"/>
        </w:rPr>
        <w:t xml:space="preserve"> Επενδύσεις σε ολόκληρο το εύρος των ενεργειακών υποδομών. Επενδύσεις στα δίκτυα, στους έξυπνους μετρητές. Επενδύσεις στα συστήματα διανομής, στα δίκτυα υποστήριξης εγκαταστάσεων για αποθήκευση ηλεκτρικής ενέργειας και για φόρτιση οχημάτων. Επενδύσεις στις διασυνδέσεις των νησιών και τις διασυνδέσεις για την πλήρη σύζευξη των αγορών στην περιοχή της Ελλάδας. Επενδύσεις για μεγάλης έκτασης ενεργειακές αναβαθμίσεις κτιρίων, οικιών και ενεργοβόρων εγκαταστάσεων</w:t>
      </w:r>
      <w:r w:rsidR="005C0774" w:rsidRPr="008D41A9">
        <w:rPr>
          <w:rStyle w:val="a7"/>
          <w:rFonts w:ascii="Times New Roman" w:eastAsia="Times New Roman" w:hAnsi="Times New Roman" w:cs="Times New Roman"/>
          <w:sz w:val="24"/>
          <w:szCs w:val="24"/>
        </w:rPr>
        <w:footnoteReference w:id="7"/>
      </w:r>
      <w:r w:rsidR="008D41A9" w:rsidRPr="008D41A9">
        <w:rPr>
          <w:rFonts w:ascii="Times New Roman" w:eastAsia="Times New Roman" w:hAnsi="Times New Roman" w:cs="Times New Roman"/>
          <w:sz w:val="24"/>
          <w:szCs w:val="24"/>
        </w:rPr>
        <w:t>»</w:t>
      </w:r>
    </w:p>
    <w:p w:rsidR="00B76126" w:rsidRDefault="00B76126" w:rsidP="0095245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Όπως σημειώνεται στην πρόσφατη έκθεση για την Ελλάδα του Διεθνούς Οργανισμού Ενέργειας για το 2017</w:t>
      </w:r>
      <w:r w:rsidR="00D00485">
        <w:rPr>
          <w:rStyle w:val="a7"/>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ο Οργανισμός </w:t>
      </w:r>
    </w:p>
    <w:p w:rsidR="00B76126" w:rsidRDefault="00B76126" w:rsidP="00B76126">
      <w:pPr>
        <w:pStyle w:val="a3"/>
        <w:numPr>
          <w:ilvl w:val="0"/>
          <w:numId w:val="16"/>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Καταγράφει τη σημαντική πρόοδο</w:t>
      </w:r>
      <w:r w:rsidR="00867F2B">
        <w:rPr>
          <w:rFonts w:ascii="Times New Roman" w:eastAsia="Times New Roman" w:hAnsi="Times New Roman" w:cs="Times New Roman"/>
          <w:sz w:val="24"/>
          <w:szCs w:val="24"/>
        </w:rPr>
        <w:t xml:space="preserve"> της Ελλάδας </w:t>
      </w:r>
      <w:r w:rsidR="002103A6">
        <w:rPr>
          <w:rFonts w:ascii="Times New Roman" w:eastAsia="Times New Roman" w:hAnsi="Times New Roman" w:cs="Times New Roman"/>
          <w:sz w:val="24"/>
          <w:szCs w:val="24"/>
        </w:rPr>
        <w:t>στις μεταρρυθμίσεις στον τομέα της Ενέργειας τα τελευταία χρόνια, με την αναδιοργάνωση δημόσιων εταιρειών και την απελευθέρωση των αγορών ηλεκτρισμού και φυσικού αερίου</w:t>
      </w:r>
    </w:p>
    <w:p w:rsidR="00B76126" w:rsidRDefault="00B76126" w:rsidP="00B76126">
      <w:pPr>
        <w:pStyle w:val="a3"/>
        <w:numPr>
          <w:ilvl w:val="0"/>
          <w:numId w:val="16"/>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Ενθα</w:t>
      </w:r>
      <w:r w:rsidR="002103A6">
        <w:rPr>
          <w:rFonts w:ascii="Times New Roman" w:eastAsia="Times New Roman" w:hAnsi="Times New Roman" w:cs="Times New Roman"/>
          <w:sz w:val="24"/>
          <w:szCs w:val="24"/>
        </w:rPr>
        <w:t>ρ</w:t>
      </w:r>
      <w:r>
        <w:rPr>
          <w:rFonts w:ascii="Times New Roman" w:eastAsia="Times New Roman" w:hAnsi="Times New Roman" w:cs="Times New Roman"/>
          <w:sz w:val="24"/>
          <w:szCs w:val="24"/>
        </w:rPr>
        <w:t>ρύνει</w:t>
      </w:r>
      <w:r w:rsidR="002103A6">
        <w:rPr>
          <w:rFonts w:ascii="Times New Roman" w:eastAsia="Times New Roman" w:hAnsi="Times New Roman" w:cs="Times New Roman"/>
          <w:sz w:val="24"/>
          <w:szCs w:val="24"/>
        </w:rPr>
        <w:t xml:space="preserve"> τη συνέχιση των μεταρρυθμίσεων, υπογραμμίζοντας τον σημαντικό ρόλο της ΡΑΕ και την ανάγκη να της δοθούν όλοι οι πόροι για τις διαρκώς αυξανόμενες αρμοδιότητές της </w:t>
      </w:r>
    </w:p>
    <w:p w:rsidR="00B76126" w:rsidRDefault="00B76126" w:rsidP="00B76126">
      <w:pPr>
        <w:pStyle w:val="a3"/>
        <w:numPr>
          <w:ilvl w:val="0"/>
          <w:numId w:val="16"/>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Καλ</w:t>
      </w:r>
      <w:r w:rsidR="002103A6">
        <w:rPr>
          <w:rFonts w:ascii="Times New Roman" w:eastAsia="Times New Roman" w:hAnsi="Times New Roman" w:cs="Times New Roman"/>
          <w:sz w:val="24"/>
          <w:szCs w:val="24"/>
        </w:rPr>
        <w:t>ω</w:t>
      </w:r>
      <w:r>
        <w:rPr>
          <w:rFonts w:ascii="Times New Roman" w:eastAsia="Times New Roman" w:hAnsi="Times New Roman" w:cs="Times New Roman"/>
          <w:sz w:val="24"/>
          <w:szCs w:val="24"/>
        </w:rPr>
        <w:t>σ</w:t>
      </w:r>
      <w:r w:rsidR="002103A6">
        <w:rPr>
          <w:rFonts w:ascii="Times New Roman" w:eastAsia="Times New Roman" w:hAnsi="Times New Roman" w:cs="Times New Roman"/>
          <w:sz w:val="24"/>
          <w:szCs w:val="24"/>
        </w:rPr>
        <w:t>ο</w:t>
      </w:r>
      <w:r>
        <w:rPr>
          <w:rFonts w:ascii="Times New Roman" w:eastAsia="Times New Roman" w:hAnsi="Times New Roman" w:cs="Times New Roman"/>
          <w:sz w:val="24"/>
          <w:szCs w:val="24"/>
        </w:rPr>
        <w:t>ρίζει</w:t>
      </w:r>
      <w:r w:rsidR="002103A6">
        <w:rPr>
          <w:rFonts w:ascii="Times New Roman" w:eastAsia="Times New Roman" w:hAnsi="Times New Roman" w:cs="Times New Roman"/>
          <w:sz w:val="24"/>
          <w:szCs w:val="24"/>
        </w:rPr>
        <w:t xml:space="preserve"> τις προσπάθειες ενεργειακής ασφάλειας και εναλλακτικών πηγών προμήθειας, με τις επενδύσεις σε υποδομές ΦΑ και ηλεκτρισμού, έργα αγωγών διασύνδεσης και αποθήκευσης αερίου.</w:t>
      </w:r>
    </w:p>
    <w:p w:rsidR="00B76126" w:rsidRDefault="00B76126" w:rsidP="00B76126">
      <w:pPr>
        <w:pStyle w:val="a3"/>
        <w:numPr>
          <w:ilvl w:val="0"/>
          <w:numId w:val="16"/>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Προτρέπει</w:t>
      </w:r>
      <w:r w:rsidR="002103A6">
        <w:rPr>
          <w:rFonts w:ascii="Times New Roman" w:eastAsia="Times New Roman" w:hAnsi="Times New Roman" w:cs="Times New Roman"/>
          <w:sz w:val="24"/>
          <w:szCs w:val="24"/>
        </w:rPr>
        <w:t xml:space="preserve"> να επιτραπεί η ανταπόκριση των αγορών αερίου και ηλεκτρισμού στις αυξομειώσεις των τιμών, σημειώνοντας ότι οι τιμές πρέπει να αντιστοιχούν στο ενεργειακό κόστος.</w:t>
      </w:r>
    </w:p>
    <w:p w:rsidR="00B76126" w:rsidRDefault="00B76126" w:rsidP="00B76126">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Επίσης, αναγνωρίζει τα μεγάλα περιθώρια ανάπτυξης των ΑΠΕ και παροτρύνει για την ενίσχυση των δράσεων προς την κατεύθυνση αυτή σημειώνοντας ότι η σημειούμενη αποσύνδεση οικονομικής ανάπτυξης από την αύξηση εκπομπών </w:t>
      </w:r>
      <w:r>
        <w:rPr>
          <w:rFonts w:ascii="Times New Roman" w:eastAsia="Times New Roman" w:hAnsi="Times New Roman" w:cs="Times New Roman"/>
          <w:sz w:val="24"/>
          <w:szCs w:val="24"/>
          <w:lang w:val="en-US"/>
        </w:rPr>
        <w:t>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αλλά με μικρότερο ρυθμό σε σχέση με τις λοιπές χώρες του ΔΟΕ </w:t>
      </w:r>
      <w:r w:rsidR="00867F2B" w:rsidRPr="00FB423F">
        <w:rPr>
          <w:rFonts w:ascii="Times New Roman" w:eastAsia="Times New Roman" w:hAnsi="Times New Roman" w:cs="Times New Roman"/>
          <w:b/>
          <w:sz w:val="24"/>
          <w:szCs w:val="24"/>
        </w:rPr>
        <w:t>και τέλος το πλέον σημαντικό επισ</w:t>
      </w:r>
      <w:r w:rsidR="002103A6" w:rsidRPr="00FB423F">
        <w:rPr>
          <w:rFonts w:ascii="Times New Roman" w:eastAsia="Times New Roman" w:hAnsi="Times New Roman" w:cs="Times New Roman"/>
          <w:b/>
          <w:sz w:val="24"/>
          <w:szCs w:val="24"/>
        </w:rPr>
        <w:t>η</w:t>
      </w:r>
      <w:r w:rsidR="00867F2B" w:rsidRPr="00FB423F">
        <w:rPr>
          <w:rFonts w:ascii="Times New Roman" w:eastAsia="Times New Roman" w:hAnsi="Times New Roman" w:cs="Times New Roman"/>
          <w:b/>
          <w:sz w:val="24"/>
          <w:szCs w:val="24"/>
        </w:rPr>
        <w:t>μ</w:t>
      </w:r>
      <w:r w:rsidR="00D02BCE" w:rsidRPr="00FB423F">
        <w:rPr>
          <w:rFonts w:ascii="Times New Roman" w:eastAsia="Times New Roman" w:hAnsi="Times New Roman" w:cs="Times New Roman"/>
          <w:b/>
          <w:sz w:val="24"/>
          <w:szCs w:val="24"/>
        </w:rPr>
        <w:t>αί</w:t>
      </w:r>
      <w:r w:rsidR="00867F2B" w:rsidRPr="00FB423F">
        <w:rPr>
          <w:rFonts w:ascii="Times New Roman" w:eastAsia="Times New Roman" w:hAnsi="Times New Roman" w:cs="Times New Roman"/>
          <w:b/>
          <w:sz w:val="24"/>
          <w:szCs w:val="24"/>
        </w:rPr>
        <w:t xml:space="preserve">νει </w:t>
      </w:r>
      <w:r w:rsidR="00867F2B">
        <w:rPr>
          <w:rFonts w:ascii="Times New Roman" w:eastAsia="Times New Roman" w:hAnsi="Times New Roman" w:cs="Times New Roman"/>
          <w:sz w:val="24"/>
          <w:szCs w:val="24"/>
        </w:rPr>
        <w:t xml:space="preserve">το σημαντικότατο πρόβλημα που ελπίζω να ανέδειξε η σημερινή σύντομη αυτή παρουσίαση ήτοι: </w:t>
      </w:r>
      <w:r w:rsidR="00867F2B" w:rsidRPr="00867F2B">
        <w:rPr>
          <w:rFonts w:ascii="Times New Roman" w:eastAsia="Times New Roman" w:hAnsi="Times New Roman" w:cs="Times New Roman"/>
          <w:sz w:val="24"/>
          <w:szCs w:val="24"/>
        </w:rPr>
        <w:t>“</w:t>
      </w:r>
      <w:r w:rsidR="00867F2B" w:rsidRPr="00FB423F">
        <w:rPr>
          <w:rFonts w:ascii="Times New Roman" w:eastAsia="Times New Roman" w:hAnsi="Times New Roman" w:cs="Times New Roman"/>
          <w:b/>
          <w:i/>
          <w:sz w:val="24"/>
          <w:szCs w:val="24"/>
        </w:rPr>
        <w:t>την έλλειψη μακρόχρονης Στρατηγικής της χώρας για την Ενέργεια και το Κλίμα</w:t>
      </w:r>
      <w:r w:rsidR="00867F2B" w:rsidRPr="00867F2B">
        <w:rPr>
          <w:rFonts w:ascii="Times New Roman" w:eastAsia="Times New Roman" w:hAnsi="Times New Roman" w:cs="Times New Roman"/>
          <w:i/>
          <w:sz w:val="24"/>
          <w:szCs w:val="24"/>
        </w:rPr>
        <w:t>, κάτι που δε  μπορεί να οδηγήσει στην ενεργειακή μετάβαση στην οποία στοχεύει η χώρα και προτρέπει στην ανάπτυξη μιας τέτοιας Στρατηγικής για το 2030, με φιλόδοξους στόχους ειδικά στους τομείς της ενεργειακής αποδοτικότητας και των ΑΠΕ</w:t>
      </w:r>
      <w:r w:rsidR="00867F2B" w:rsidRPr="00867F2B">
        <w:rPr>
          <w:rFonts w:ascii="Times New Roman" w:eastAsia="Times New Roman" w:hAnsi="Times New Roman" w:cs="Times New Roman"/>
          <w:sz w:val="24"/>
          <w:szCs w:val="24"/>
        </w:rPr>
        <w:t>”</w:t>
      </w:r>
      <w:r w:rsidR="002103A6">
        <w:rPr>
          <w:rFonts w:ascii="Times New Roman" w:eastAsia="Times New Roman" w:hAnsi="Times New Roman" w:cs="Times New Roman"/>
          <w:sz w:val="24"/>
          <w:szCs w:val="24"/>
        </w:rPr>
        <w:t>.</w:t>
      </w:r>
    </w:p>
    <w:p w:rsidR="007C53FB" w:rsidRDefault="007C53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53FB" w:rsidRPr="00EC5032" w:rsidRDefault="007C53FB" w:rsidP="007C53FB">
      <w:pPr>
        <w:pStyle w:val="a3"/>
        <w:numPr>
          <w:ilvl w:val="0"/>
          <w:numId w:val="11"/>
        </w:numPr>
        <w:spacing w:before="300" w:after="0" w:line="360" w:lineRule="auto"/>
        <w:ind w:left="284" w:hanging="284"/>
        <w:jc w:val="both"/>
        <w:textAlignment w:val="top"/>
        <w:outlineLvl w:val="2"/>
        <w:rPr>
          <w:rFonts w:ascii="Times New Roman" w:eastAsia="Times New Roman" w:hAnsi="Times New Roman" w:cs="Times New Roman"/>
          <w:b/>
          <w:spacing w:val="-7"/>
          <w:sz w:val="32"/>
          <w:szCs w:val="32"/>
        </w:rPr>
      </w:pPr>
      <w:r w:rsidRPr="00EC5032">
        <w:rPr>
          <w:rFonts w:ascii="Times New Roman" w:eastAsia="Times New Roman" w:hAnsi="Times New Roman" w:cs="Times New Roman"/>
          <w:b/>
          <w:spacing w:val="-7"/>
          <w:sz w:val="32"/>
          <w:szCs w:val="32"/>
        </w:rPr>
        <w:lastRenderedPageBreak/>
        <w:t xml:space="preserve">Ο </w:t>
      </w:r>
      <w:r>
        <w:rPr>
          <w:rFonts w:ascii="Times New Roman" w:eastAsia="Times New Roman" w:hAnsi="Times New Roman" w:cs="Times New Roman"/>
          <w:b/>
          <w:spacing w:val="-7"/>
          <w:sz w:val="32"/>
          <w:szCs w:val="32"/>
        </w:rPr>
        <w:t>Ενεργειακός Όμιλος ΕΛΠΕ</w:t>
      </w:r>
    </w:p>
    <w:p w:rsidR="00E6082D" w:rsidRDefault="00DA3B41" w:rsidP="00B76126">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εθνική </w:t>
      </w:r>
      <w:r w:rsidR="00E6082D">
        <w:rPr>
          <w:rFonts w:ascii="Times New Roman" w:eastAsia="Times New Roman" w:hAnsi="Times New Roman" w:cs="Times New Roman"/>
          <w:sz w:val="24"/>
          <w:szCs w:val="24"/>
        </w:rPr>
        <w:t>Στρατηγική για την Ενέργεια και το κλίμα για το 2020, δεν μπορεί παρά να διαμορφωθεί στο πλαίσιο της νέας πρό</w:t>
      </w:r>
      <w:r w:rsidR="00E37DD1">
        <w:rPr>
          <w:rFonts w:ascii="Times New Roman" w:eastAsia="Times New Roman" w:hAnsi="Times New Roman" w:cs="Times New Roman"/>
          <w:sz w:val="24"/>
          <w:szCs w:val="24"/>
        </w:rPr>
        <w:t>τ</w:t>
      </w:r>
      <w:r w:rsidR="00E6082D">
        <w:rPr>
          <w:rFonts w:ascii="Times New Roman" w:eastAsia="Times New Roman" w:hAnsi="Times New Roman" w:cs="Times New Roman"/>
          <w:sz w:val="24"/>
          <w:szCs w:val="24"/>
        </w:rPr>
        <w:t xml:space="preserve">ασης της ΕΕ για </w:t>
      </w:r>
      <w:r w:rsidR="00156C19">
        <w:rPr>
          <w:rFonts w:ascii="Times New Roman" w:eastAsia="Times New Roman" w:hAnsi="Times New Roman" w:cs="Times New Roman"/>
          <w:sz w:val="24"/>
          <w:szCs w:val="24"/>
        </w:rPr>
        <w:t>«</w:t>
      </w:r>
      <w:r w:rsidR="00E6082D">
        <w:rPr>
          <w:rFonts w:ascii="Times New Roman" w:eastAsia="Times New Roman" w:hAnsi="Times New Roman" w:cs="Times New Roman"/>
          <w:sz w:val="24"/>
          <w:szCs w:val="24"/>
        </w:rPr>
        <w:t>καθαρή ενέργεια για την Ευρώπη</w:t>
      </w:r>
      <w:r w:rsidR="00156C19">
        <w:rPr>
          <w:rFonts w:ascii="Times New Roman" w:eastAsia="Times New Roman" w:hAnsi="Times New Roman" w:cs="Times New Roman"/>
          <w:sz w:val="24"/>
          <w:szCs w:val="24"/>
        </w:rPr>
        <w:t>»</w:t>
      </w:r>
      <w:r w:rsidR="00E6082D">
        <w:rPr>
          <w:rFonts w:ascii="Times New Roman" w:eastAsia="Times New Roman" w:hAnsi="Times New Roman" w:cs="Times New Roman"/>
          <w:sz w:val="24"/>
          <w:szCs w:val="24"/>
        </w:rPr>
        <w:t xml:space="preserve"> (</w:t>
      </w:r>
      <w:r w:rsidR="00E6082D">
        <w:rPr>
          <w:rFonts w:ascii="Times New Roman" w:eastAsia="Times New Roman" w:hAnsi="Times New Roman" w:cs="Times New Roman"/>
          <w:sz w:val="24"/>
          <w:szCs w:val="24"/>
          <w:lang w:val="en-US"/>
        </w:rPr>
        <w:t>CleanEnergyforEurope</w:t>
      </w:r>
      <w:r w:rsidR="00E6082D" w:rsidRPr="00E6082D">
        <w:rPr>
          <w:rFonts w:ascii="Times New Roman" w:eastAsia="Times New Roman" w:hAnsi="Times New Roman" w:cs="Times New Roman"/>
          <w:sz w:val="24"/>
          <w:szCs w:val="24"/>
        </w:rPr>
        <w:t xml:space="preserve">) </w:t>
      </w:r>
      <w:r w:rsidR="00E6082D">
        <w:rPr>
          <w:rFonts w:ascii="Times New Roman" w:eastAsia="Times New Roman" w:hAnsi="Times New Roman" w:cs="Times New Roman"/>
          <w:sz w:val="24"/>
          <w:szCs w:val="24"/>
        </w:rPr>
        <w:t xml:space="preserve">με κεντρικό άξονα τις πολιτικές για τη μείωση των εκπομπών </w:t>
      </w:r>
      <w:r w:rsidR="00E6082D">
        <w:rPr>
          <w:rFonts w:ascii="Times New Roman" w:eastAsia="Times New Roman" w:hAnsi="Times New Roman" w:cs="Times New Roman"/>
          <w:sz w:val="24"/>
          <w:szCs w:val="24"/>
          <w:lang w:val="en-US"/>
        </w:rPr>
        <w:t>CO</w:t>
      </w:r>
      <w:r w:rsidR="00E6082D" w:rsidRPr="00E6082D">
        <w:rPr>
          <w:rFonts w:ascii="Times New Roman" w:eastAsia="Times New Roman" w:hAnsi="Times New Roman" w:cs="Times New Roman"/>
          <w:sz w:val="24"/>
          <w:szCs w:val="24"/>
          <w:vertAlign w:val="subscript"/>
        </w:rPr>
        <w:t>2</w:t>
      </w:r>
      <w:r w:rsidR="00E6082D">
        <w:rPr>
          <w:rFonts w:ascii="Times New Roman" w:eastAsia="Times New Roman" w:hAnsi="Times New Roman" w:cs="Times New Roman"/>
          <w:sz w:val="24"/>
          <w:szCs w:val="24"/>
        </w:rPr>
        <w:t>κατά τουλάχιστον 40 % έως το 2030 και προτεραιότητες:</w:t>
      </w:r>
    </w:p>
    <w:p w:rsidR="00E6082D" w:rsidRDefault="00E6082D" w:rsidP="00E6082D">
      <w:pPr>
        <w:spacing w:before="100" w:beforeAutospacing="1" w:after="120" w:line="360" w:lineRule="auto"/>
        <w:ind w:left="851" w:hanging="425"/>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την ενεργειακή απόδοση </w:t>
      </w:r>
    </w:p>
    <w:p w:rsidR="00E6082D" w:rsidRDefault="00E6082D" w:rsidP="00E6082D">
      <w:pPr>
        <w:spacing w:before="100" w:beforeAutospacing="1" w:after="120" w:line="360" w:lineRule="auto"/>
        <w:ind w:left="709" w:hanging="283"/>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β) την επίτευξη παγκόσμιας πρωτοπορίας της ΕΕ στην ενέργεια και τις ανανεώσιμες πηγές και</w:t>
      </w:r>
    </w:p>
    <w:p w:rsidR="00FC3F30" w:rsidRDefault="00E6082D" w:rsidP="00FC3F30">
      <w:pPr>
        <w:spacing w:before="100" w:beforeAutospacing="1" w:after="120" w:line="360" w:lineRule="auto"/>
        <w:ind w:left="851" w:hanging="425"/>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 </w:t>
      </w:r>
      <w:r w:rsidR="00FC3F30">
        <w:rPr>
          <w:rFonts w:ascii="Times New Roman" w:eastAsia="Times New Roman" w:hAnsi="Times New Roman" w:cs="Times New Roman"/>
          <w:sz w:val="24"/>
          <w:szCs w:val="24"/>
        </w:rPr>
        <w:t>μια θεμιτή συμφωνία  (</w:t>
      </w:r>
      <w:r w:rsidR="00FC3F30">
        <w:rPr>
          <w:rFonts w:ascii="Times New Roman" w:eastAsia="Times New Roman" w:hAnsi="Times New Roman" w:cs="Times New Roman"/>
          <w:sz w:val="24"/>
          <w:szCs w:val="24"/>
          <w:lang w:val="en-US"/>
        </w:rPr>
        <w:t>fairdeal</w:t>
      </w:r>
      <w:r w:rsidR="00FC3F30" w:rsidRPr="00FC3F30">
        <w:rPr>
          <w:rFonts w:ascii="Times New Roman" w:eastAsia="Times New Roman" w:hAnsi="Times New Roman" w:cs="Times New Roman"/>
          <w:sz w:val="24"/>
          <w:szCs w:val="24"/>
        </w:rPr>
        <w:t xml:space="preserve">) </w:t>
      </w:r>
      <w:r w:rsidR="00FC3F30">
        <w:rPr>
          <w:rFonts w:ascii="Times New Roman" w:eastAsia="Times New Roman" w:hAnsi="Times New Roman" w:cs="Times New Roman"/>
          <w:sz w:val="24"/>
          <w:szCs w:val="24"/>
        </w:rPr>
        <w:t>για τους καταναλωτές</w:t>
      </w:r>
    </w:p>
    <w:p w:rsidR="00FC3F30" w:rsidRDefault="00FC3F30" w:rsidP="00FC3F3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προτεραιότητες αυτές αποτελούν και βασικούς στόχους του αναπτυξιακού προγράμματος των ΕΛΠΕ, της μεγαλύτερης πετρελαϊκής εταιρείας της χώρας που ήδη σχεδιάζει και υλοποιεί τη μετάβαση στη νέα εποχή της ενεργειακής οικονομίας με τον σταδιακό διαρθρωτικό μετασχηματισμό της σε μια ενεργειακή εταιρεία στο πλαίσιο ενός προγράμματος βιώσιμης ανάπτυξης με ορίζοντα το 2030.  </w:t>
      </w:r>
    </w:p>
    <w:p w:rsidR="007C53FB" w:rsidRDefault="007C53FB" w:rsidP="00FC3F30">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Ο Ενεργειακός Όμιλος ΕΛΠΕ με πυρήνα των επιχειρησιακών δραστηριοτήτων του τη διύλιση και πρωταγωνιστικό ρόλο στο εθνικό εγχείρημα Έρευνας και Παραγωγής Υδρογονανθράκων, πέραν της εμπορίας πετρελαιοειδών, έχει συγκροτήσει ένα ισχυρό χαρτοφυλάκιο συμμετοχών στον Ηλεκτρισμό, το Φυσικό Αέριο και τις Α.Π.Ε.</w:t>
      </w:r>
    </w:p>
    <w:p w:rsidR="007C53FB" w:rsidRPr="001D0BB2" w:rsidRDefault="007C53FB" w:rsidP="00B76126">
      <w:pPr>
        <w:spacing w:before="100" w:beforeAutospacing="1" w:after="120" w:line="360" w:lineRule="auto"/>
        <w:jc w:val="both"/>
        <w:textAlignment w:val="top"/>
        <w:rPr>
          <w:rFonts w:ascii="Times New Roman" w:eastAsia="Times New Roman" w:hAnsi="Times New Roman" w:cs="Times New Roman"/>
          <w:b/>
          <w:sz w:val="24"/>
          <w:szCs w:val="24"/>
        </w:rPr>
      </w:pPr>
      <w:r w:rsidRPr="001D0BB2">
        <w:rPr>
          <w:rFonts w:ascii="Times New Roman" w:eastAsia="Times New Roman" w:hAnsi="Times New Roman" w:cs="Times New Roman"/>
          <w:b/>
          <w:sz w:val="24"/>
          <w:szCs w:val="24"/>
        </w:rPr>
        <w:t>Ο αναπτυξιακός σχεδιασμός</w:t>
      </w:r>
      <w:r>
        <w:rPr>
          <w:rFonts w:ascii="Times New Roman" w:eastAsia="Times New Roman" w:hAnsi="Times New Roman" w:cs="Times New Roman"/>
          <w:sz w:val="24"/>
          <w:szCs w:val="24"/>
        </w:rPr>
        <w:t xml:space="preserve"> του Ομίλου </w:t>
      </w:r>
      <w:r w:rsidRPr="001D0BB2">
        <w:rPr>
          <w:rFonts w:ascii="Times New Roman" w:eastAsia="Times New Roman" w:hAnsi="Times New Roman" w:cs="Times New Roman"/>
          <w:b/>
          <w:sz w:val="24"/>
          <w:szCs w:val="24"/>
        </w:rPr>
        <w:t>βασίζεται στη διαρκή βελτίωση της διεθνούς    ανταγωνιστικότητας</w:t>
      </w:r>
      <w:r>
        <w:rPr>
          <w:rFonts w:ascii="Times New Roman" w:eastAsia="Times New Roman" w:hAnsi="Times New Roman" w:cs="Times New Roman"/>
          <w:sz w:val="24"/>
          <w:szCs w:val="24"/>
        </w:rPr>
        <w:t xml:space="preserve"> και </w:t>
      </w:r>
      <w:r w:rsidRPr="001D0BB2">
        <w:rPr>
          <w:rFonts w:ascii="Times New Roman" w:eastAsia="Times New Roman" w:hAnsi="Times New Roman" w:cs="Times New Roman"/>
          <w:b/>
          <w:sz w:val="24"/>
          <w:szCs w:val="24"/>
        </w:rPr>
        <w:t>της εξωστρέφειας</w:t>
      </w:r>
      <w:r>
        <w:rPr>
          <w:rFonts w:ascii="Times New Roman" w:eastAsia="Times New Roman" w:hAnsi="Times New Roman" w:cs="Times New Roman"/>
          <w:sz w:val="24"/>
          <w:szCs w:val="24"/>
        </w:rPr>
        <w:t xml:space="preserve"> στους τομείς πετρελαίου και πετροχημικών καθώς και στην ενίσχυση </w:t>
      </w:r>
      <w:r w:rsidR="00EB3447">
        <w:rPr>
          <w:rFonts w:ascii="Times New Roman" w:eastAsia="Times New Roman" w:hAnsi="Times New Roman" w:cs="Times New Roman"/>
          <w:sz w:val="24"/>
          <w:szCs w:val="24"/>
        </w:rPr>
        <w:t xml:space="preserve">και </w:t>
      </w:r>
      <w:r w:rsidR="00EB3447" w:rsidRPr="001D0BB2">
        <w:rPr>
          <w:rFonts w:ascii="Times New Roman" w:eastAsia="Times New Roman" w:hAnsi="Times New Roman" w:cs="Times New Roman"/>
          <w:b/>
          <w:sz w:val="24"/>
          <w:szCs w:val="24"/>
        </w:rPr>
        <w:t>ανάπτυξη των συμμετοχών</w:t>
      </w:r>
      <w:r w:rsidR="00EB3447">
        <w:rPr>
          <w:rFonts w:ascii="Times New Roman" w:eastAsia="Times New Roman" w:hAnsi="Times New Roman" w:cs="Times New Roman"/>
          <w:sz w:val="24"/>
          <w:szCs w:val="24"/>
        </w:rPr>
        <w:t xml:space="preserve"> στους λοιπούς ενεργειακούς τομείς (Φ.Α, Ηλεκτρισμός, ΑΠΕ) στο πλαίσιο υλοποίησης του βασικού στρατηγικού στόχου του ενεργειακού και ψηφιακού του μετασχηματισμού, </w:t>
      </w:r>
      <w:r w:rsidR="00EB3447" w:rsidRPr="001D0BB2">
        <w:rPr>
          <w:rFonts w:ascii="Times New Roman" w:eastAsia="Times New Roman" w:hAnsi="Times New Roman" w:cs="Times New Roman"/>
          <w:b/>
          <w:sz w:val="24"/>
          <w:szCs w:val="24"/>
        </w:rPr>
        <w:t>με γνώμονα τη βιώσιμη ανάπτυξη του Ομίλου.</w:t>
      </w:r>
    </w:p>
    <w:p w:rsidR="0052159C" w:rsidRDefault="00EB3447" w:rsidP="00B76126">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προσήλωση στο εγχείρημα της διαρκούς </w:t>
      </w:r>
      <w:r w:rsidRPr="00EB3447">
        <w:rPr>
          <w:rFonts w:ascii="Times New Roman" w:eastAsia="Times New Roman" w:hAnsi="Times New Roman" w:cs="Times New Roman"/>
          <w:b/>
          <w:sz w:val="24"/>
          <w:szCs w:val="24"/>
        </w:rPr>
        <w:t>βελτίωσης της διεθνούς ανταγωνιστικότητα</w:t>
      </w:r>
      <w:r>
        <w:rPr>
          <w:rFonts w:ascii="Times New Roman" w:eastAsia="Times New Roman" w:hAnsi="Times New Roman" w:cs="Times New Roman"/>
          <w:sz w:val="24"/>
          <w:szCs w:val="24"/>
        </w:rPr>
        <w:t xml:space="preserve">ς και </w:t>
      </w:r>
      <w:r w:rsidRPr="00EB3447">
        <w:rPr>
          <w:rFonts w:ascii="Times New Roman" w:eastAsia="Times New Roman" w:hAnsi="Times New Roman" w:cs="Times New Roman"/>
          <w:b/>
          <w:sz w:val="24"/>
          <w:szCs w:val="24"/>
        </w:rPr>
        <w:t>εξωστρέφειας</w:t>
      </w:r>
      <w:r>
        <w:rPr>
          <w:rFonts w:ascii="Times New Roman" w:eastAsia="Times New Roman" w:hAnsi="Times New Roman" w:cs="Times New Roman"/>
          <w:sz w:val="24"/>
          <w:szCs w:val="24"/>
        </w:rPr>
        <w:t xml:space="preserve"> ο Όμιλος υλοποιεί επί έτη ανανεούμενα προγράμματα μετεξέλιξης με στόχο την έγκαιρη και διαρκή ενσωμάτωση των νέων </w:t>
      </w:r>
      <w:r>
        <w:rPr>
          <w:rFonts w:ascii="Times New Roman" w:eastAsia="Times New Roman" w:hAnsi="Times New Roman" w:cs="Times New Roman"/>
          <w:sz w:val="24"/>
          <w:szCs w:val="24"/>
        </w:rPr>
        <w:lastRenderedPageBreak/>
        <w:t xml:space="preserve">τεχνολογιών και τη διάχυση της συνακόλουθης νέας τεχνογνωσίας με συγκροτημένα εκπαιδευτικά προγράμματα </w:t>
      </w:r>
      <w:r w:rsidR="007D7CD4">
        <w:rPr>
          <w:rFonts w:ascii="Times New Roman" w:eastAsia="Times New Roman" w:hAnsi="Times New Roman" w:cs="Times New Roman"/>
          <w:sz w:val="24"/>
          <w:szCs w:val="24"/>
        </w:rPr>
        <w:t xml:space="preserve">και </w:t>
      </w:r>
      <w:r w:rsidR="00667AAD">
        <w:rPr>
          <w:rFonts w:ascii="Times New Roman" w:eastAsia="Times New Roman" w:hAnsi="Times New Roman" w:cs="Times New Roman"/>
          <w:sz w:val="24"/>
          <w:szCs w:val="24"/>
        </w:rPr>
        <w:t>σ</w:t>
      </w:r>
      <w:r w:rsidR="0052159C">
        <w:rPr>
          <w:rFonts w:ascii="Times New Roman" w:eastAsia="Times New Roman" w:hAnsi="Times New Roman" w:cs="Times New Roman"/>
          <w:sz w:val="24"/>
          <w:szCs w:val="24"/>
        </w:rPr>
        <w:t>χέδια ανάπτυξης και διαδοχής στελεχών.</w:t>
      </w:r>
    </w:p>
    <w:p w:rsidR="0052159C" w:rsidRDefault="0052159C" w:rsidP="00B76126">
      <w:p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Στο πλαίσιο των προγραμμάτων αυτών ο Όμιλος στοχεύει:</w:t>
      </w:r>
    </w:p>
    <w:p w:rsidR="00EB3447" w:rsidRDefault="0052159C"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Σε επιδόσεις ΥΑΠΕ (</w:t>
      </w:r>
      <w:r w:rsidR="001D0BB2">
        <w:rPr>
          <w:rFonts w:ascii="Times New Roman" w:eastAsia="Times New Roman" w:hAnsi="Times New Roman" w:cs="Times New Roman"/>
          <w:sz w:val="24"/>
          <w:szCs w:val="24"/>
        </w:rPr>
        <w:t>Υγιεινής Ασφάλειας και Περιβάλλοντος</w:t>
      </w:r>
      <w:r>
        <w:rPr>
          <w:rFonts w:ascii="Times New Roman" w:eastAsia="Times New Roman" w:hAnsi="Times New Roman" w:cs="Times New Roman"/>
          <w:sz w:val="24"/>
          <w:szCs w:val="24"/>
        </w:rPr>
        <w:t>) στο επίπεδο των καλύτερων ενεργειακών εταιρειών παγκοσμίως</w:t>
      </w:r>
    </w:p>
    <w:p w:rsidR="0052159C" w:rsidRDefault="0052159C"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βελτίωση των δεικτών </w:t>
      </w:r>
      <w:r>
        <w:rPr>
          <w:rFonts w:ascii="Times New Roman" w:eastAsia="Times New Roman" w:hAnsi="Times New Roman" w:cs="Times New Roman"/>
          <w:sz w:val="24"/>
          <w:szCs w:val="24"/>
          <w:lang w:val="en-US"/>
        </w:rPr>
        <w:t>SOLOMONGroup</w:t>
      </w:r>
      <w:r>
        <w:rPr>
          <w:rFonts w:ascii="Times New Roman" w:eastAsia="Times New Roman" w:hAnsi="Times New Roman" w:cs="Times New Roman"/>
          <w:sz w:val="24"/>
          <w:szCs w:val="24"/>
        </w:rPr>
        <w:t xml:space="preserve">και </w:t>
      </w:r>
      <w:r>
        <w:rPr>
          <w:rFonts w:ascii="Times New Roman" w:eastAsia="Times New Roman" w:hAnsi="Times New Roman" w:cs="Times New Roman"/>
          <w:sz w:val="24"/>
          <w:szCs w:val="24"/>
          <w:lang w:val="en-US"/>
        </w:rPr>
        <w:t>CONCAWE</w:t>
      </w:r>
      <w:r>
        <w:rPr>
          <w:rFonts w:ascii="Times New Roman" w:eastAsia="Times New Roman" w:hAnsi="Times New Roman" w:cs="Times New Roman"/>
          <w:sz w:val="24"/>
          <w:szCs w:val="24"/>
        </w:rPr>
        <w:t xml:space="preserve"> ώστε τα διυλιστήρια να κατατάσσονται διεθνώς στο υψηλότερο 25%</w:t>
      </w:r>
    </w:p>
    <w:p w:rsidR="0052159C" w:rsidRDefault="0052159C"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Στον ψηφιακό μετασχηματισμό υπηρεσιών και παραγωγικής διαδικασίας</w:t>
      </w:r>
    </w:p>
    <w:p w:rsidR="0052159C" w:rsidRDefault="0052159C"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διατήρηση της δομής του λειτουργικού κόστους σε ανταγωνιστικά επίπεδα</w:t>
      </w:r>
    </w:p>
    <w:p w:rsidR="00667AAD" w:rsidRDefault="00667AAD"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παραπέρα ανάπτυξη των διεθνών συνεργασιών στα ζητήματα ασφάλειας, τεχνολογίας, τεχνογνωσίας, προμηθειών και εμπορίας</w:t>
      </w:r>
    </w:p>
    <w:p w:rsidR="00667AAD" w:rsidRDefault="00667AAD"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αύξηση των μεριδίων εγχώριας α</w:t>
      </w:r>
      <w:r w:rsidR="00D314A0">
        <w:rPr>
          <w:rFonts w:ascii="Times New Roman" w:eastAsia="Times New Roman" w:hAnsi="Times New Roman" w:cs="Times New Roman"/>
          <w:sz w:val="24"/>
          <w:szCs w:val="24"/>
        </w:rPr>
        <w:t xml:space="preserve">γοράς (χονδρικής και λιανικής) </w:t>
      </w:r>
      <w:r>
        <w:rPr>
          <w:rFonts w:ascii="Times New Roman" w:eastAsia="Times New Roman" w:hAnsi="Times New Roman" w:cs="Times New Roman"/>
          <w:sz w:val="24"/>
          <w:szCs w:val="24"/>
        </w:rPr>
        <w:t xml:space="preserve"> και στην σταθεροποίηση και ενίσχυση της θέσης στην αγορά της Ν.Α Ευρώπης, όπου διατίθεται το </w:t>
      </w:r>
      <w:r w:rsidR="001D0BB2">
        <w:rPr>
          <w:rFonts w:ascii="Times New Roman" w:eastAsia="Times New Roman" w:hAnsi="Times New Roman" w:cs="Times New Roman"/>
          <w:sz w:val="24"/>
          <w:szCs w:val="24"/>
        </w:rPr>
        <w:t>5</w:t>
      </w:r>
      <w:r w:rsidR="00226717">
        <w:rPr>
          <w:rFonts w:ascii="Times New Roman" w:eastAsia="Times New Roman" w:hAnsi="Times New Roman" w:cs="Times New Roman"/>
          <w:sz w:val="24"/>
          <w:szCs w:val="24"/>
        </w:rPr>
        <w:t>6</w:t>
      </w:r>
      <w:r>
        <w:rPr>
          <w:rFonts w:ascii="Times New Roman" w:eastAsia="Times New Roman" w:hAnsi="Times New Roman" w:cs="Times New Roman"/>
          <w:sz w:val="24"/>
          <w:szCs w:val="24"/>
        </w:rPr>
        <w:t>% της ετήσιας παραγωγής.</w:t>
      </w:r>
    </w:p>
    <w:p w:rsidR="00667AAD" w:rsidRDefault="00667AAD"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ενεργή παρουσία του Ομίλου στο εγχείρημα της Έρευνας και Παραγωγής Υδρογονανθράκων με την επίτευξη διεθνών συνεργασιών με κορυφαίους ενεργειακούς  Ομίλους.</w:t>
      </w:r>
    </w:p>
    <w:p w:rsidR="00667AAD" w:rsidRDefault="00667AAD"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σταθεροποίηση και </w:t>
      </w:r>
      <w:r w:rsidRPr="001D0BB2">
        <w:rPr>
          <w:rFonts w:ascii="Times New Roman" w:eastAsia="Times New Roman" w:hAnsi="Times New Roman" w:cs="Times New Roman"/>
          <w:b/>
          <w:sz w:val="24"/>
          <w:szCs w:val="24"/>
        </w:rPr>
        <w:t>ενίσχυση της κερδοφορίας</w:t>
      </w:r>
      <w:r>
        <w:rPr>
          <w:rFonts w:ascii="Times New Roman" w:eastAsia="Times New Roman" w:hAnsi="Times New Roman" w:cs="Times New Roman"/>
          <w:sz w:val="24"/>
          <w:szCs w:val="24"/>
        </w:rPr>
        <w:t xml:space="preserve"> όπου για </w:t>
      </w:r>
      <w:r w:rsidR="001D0BB2">
        <w:rPr>
          <w:rFonts w:ascii="Times New Roman" w:eastAsia="Times New Roman" w:hAnsi="Times New Roman" w:cs="Times New Roman"/>
          <w:sz w:val="24"/>
          <w:szCs w:val="24"/>
        </w:rPr>
        <w:t>τ</w:t>
      </w:r>
      <w:r>
        <w:rPr>
          <w:rFonts w:ascii="Times New Roman" w:eastAsia="Times New Roman" w:hAnsi="Times New Roman" w:cs="Times New Roman"/>
          <w:sz w:val="24"/>
          <w:szCs w:val="24"/>
        </w:rPr>
        <w:t xml:space="preserve">ρίτη συνεχή χρονιά </w:t>
      </w:r>
      <w:r w:rsidRPr="001D0BB2">
        <w:rPr>
          <w:rFonts w:ascii="Times New Roman" w:eastAsia="Times New Roman" w:hAnsi="Times New Roman" w:cs="Times New Roman"/>
          <w:b/>
          <w:sz w:val="24"/>
          <w:szCs w:val="24"/>
        </w:rPr>
        <w:t xml:space="preserve">τα συγκρίσιμα κέρδη </w:t>
      </w:r>
      <w:r w:rsidRPr="001D0BB2">
        <w:rPr>
          <w:rFonts w:ascii="Times New Roman" w:eastAsia="Times New Roman" w:hAnsi="Times New Roman" w:cs="Times New Roman"/>
          <w:b/>
          <w:sz w:val="24"/>
          <w:szCs w:val="24"/>
          <w:lang w:val="en-US"/>
        </w:rPr>
        <w:t>EBITDA</w:t>
      </w:r>
      <w:r>
        <w:rPr>
          <w:rFonts w:ascii="Times New Roman" w:eastAsia="Times New Roman" w:hAnsi="Times New Roman" w:cs="Times New Roman"/>
          <w:sz w:val="24"/>
          <w:szCs w:val="24"/>
        </w:rPr>
        <w:t xml:space="preserve">θα κινηθούν σε ιστορικό υψηλό </w:t>
      </w:r>
      <w:r w:rsidRPr="001D0BB2">
        <w:rPr>
          <w:rFonts w:ascii="Times New Roman" w:eastAsia="Times New Roman" w:hAnsi="Times New Roman" w:cs="Times New Roman"/>
          <w:b/>
          <w:sz w:val="24"/>
          <w:szCs w:val="24"/>
        </w:rPr>
        <w:t>ξεπερνώντας πλέον τα 800 εκατ. ευρώ.</w:t>
      </w:r>
    </w:p>
    <w:p w:rsidR="00D25DCF" w:rsidRDefault="00667AAD" w:rsidP="0052159C">
      <w:pPr>
        <w:pStyle w:val="a3"/>
        <w:numPr>
          <w:ilvl w:val="0"/>
          <w:numId w:val="19"/>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σταθεροποίηση υψηλών ταμειακών ροών, </w:t>
      </w:r>
      <w:r w:rsidR="001D0BB2">
        <w:rPr>
          <w:rFonts w:ascii="Times New Roman" w:eastAsia="Times New Roman" w:hAnsi="Times New Roman" w:cs="Times New Roman"/>
          <w:sz w:val="24"/>
          <w:szCs w:val="24"/>
        </w:rPr>
        <w:t xml:space="preserve">και περαιτέρω </w:t>
      </w:r>
      <w:r w:rsidR="00D314A0">
        <w:rPr>
          <w:rFonts w:ascii="Times New Roman" w:eastAsia="Times New Roman" w:hAnsi="Times New Roman" w:cs="Times New Roman"/>
          <w:sz w:val="24"/>
          <w:szCs w:val="24"/>
        </w:rPr>
        <w:t>μείωσης της μόχλευσης (&lt;35</w:t>
      </w:r>
      <w:r>
        <w:rPr>
          <w:rFonts w:ascii="Times New Roman" w:eastAsia="Times New Roman" w:hAnsi="Times New Roman" w:cs="Times New Roman"/>
          <w:sz w:val="24"/>
          <w:szCs w:val="24"/>
        </w:rPr>
        <w:t xml:space="preserve">%) </w:t>
      </w:r>
      <w:r w:rsidR="004423FC">
        <w:rPr>
          <w:rFonts w:ascii="Times New Roman" w:eastAsia="Times New Roman" w:hAnsi="Times New Roman" w:cs="Times New Roman"/>
          <w:sz w:val="24"/>
          <w:szCs w:val="24"/>
        </w:rPr>
        <w:t xml:space="preserve">και του κόστους χρηματοδότησης </w:t>
      </w:r>
      <w:r w:rsidR="00D25DCF">
        <w:rPr>
          <w:rFonts w:ascii="Times New Roman" w:eastAsia="Times New Roman" w:hAnsi="Times New Roman" w:cs="Times New Roman"/>
          <w:sz w:val="24"/>
          <w:szCs w:val="24"/>
        </w:rPr>
        <w:t>.</w:t>
      </w:r>
    </w:p>
    <w:p w:rsidR="00BD6A6A" w:rsidRPr="00BD6A6A" w:rsidRDefault="00BD6A6A" w:rsidP="00D25DCF">
      <w:pPr>
        <w:spacing w:before="100" w:beforeAutospacing="1" w:after="120" w:line="360" w:lineRule="auto"/>
        <w:ind w:left="60"/>
        <w:jc w:val="both"/>
        <w:textAlignment w:val="top"/>
        <w:rPr>
          <w:rFonts w:ascii="Times New Roman" w:eastAsia="Times New Roman" w:hAnsi="Times New Roman" w:cs="Times New Roman"/>
          <w:sz w:val="24"/>
          <w:szCs w:val="24"/>
        </w:rPr>
      </w:pPr>
      <w:r w:rsidRPr="00BD6A6A">
        <w:rPr>
          <w:rFonts w:ascii="Times New Roman" w:eastAsia="Times New Roman" w:hAnsi="Times New Roman" w:cs="Times New Roman"/>
          <w:sz w:val="24"/>
          <w:szCs w:val="24"/>
        </w:rPr>
        <w:t xml:space="preserve">Την εικόνα </w:t>
      </w:r>
      <w:r>
        <w:rPr>
          <w:rFonts w:ascii="Times New Roman" w:eastAsia="Times New Roman" w:hAnsi="Times New Roman" w:cs="Times New Roman"/>
          <w:sz w:val="24"/>
          <w:szCs w:val="24"/>
        </w:rPr>
        <w:t>και παρουσία του Ομίλου στο διεθνές ανταγωνιστικό περιβάλλον των ενεργειακών επιχειρήσεων διαμορφώνουν συνθετικά:</w:t>
      </w:r>
    </w:p>
    <w:p w:rsidR="00D25DCF" w:rsidRPr="00BD6A6A" w:rsidRDefault="00D25DCF" w:rsidP="00BD6A6A">
      <w:pPr>
        <w:pStyle w:val="a3"/>
        <w:numPr>
          <w:ilvl w:val="0"/>
          <w:numId w:val="20"/>
        </w:numPr>
        <w:spacing w:before="100" w:beforeAutospacing="1" w:after="120" w:line="360" w:lineRule="auto"/>
        <w:jc w:val="both"/>
        <w:textAlignment w:val="top"/>
        <w:rPr>
          <w:rFonts w:ascii="Times New Roman" w:eastAsia="Times New Roman" w:hAnsi="Times New Roman" w:cs="Times New Roman"/>
          <w:sz w:val="24"/>
          <w:szCs w:val="24"/>
        </w:rPr>
      </w:pPr>
      <w:r w:rsidRPr="00BD6A6A">
        <w:rPr>
          <w:rFonts w:ascii="Times New Roman" w:eastAsia="Times New Roman" w:hAnsi="Times New Roman" w:cs="Times New Roman"/>
          <w:b/>
          <w:sz w:val="24"/>
          <w:szCs w:val="24"/>
        </w:rPr>
        <w:t>Οι σταθερά υψηλές επιδόσεις του Ομίλου την τελευταία τριετία</w:t>
      </w:r>
      <w:r w:rsidRPr="00BD6A6A">
        <w:rPr>
          <w:rFonts w:ascii="Times New Roman" w:eastAsia="Times New Roman" w:hAnsi="Times New Roman" w:cs="Times New Roman"/>
          <w:sz w:val="24"/>
          <w:szCs w:val="24"/>
        </w:rPr>
        <w:t xml:space="preserve"> σημειώνοντας ιστορικό υψηλό παραγωγής, πωλήσεων, εξαγωγών και κερδοφορίας, </w:t>
      </w:r>
      <w:r w:rsidRPr="00BD6A6A">
        <w:rPr>
          <w:rFonts w:ascii="Times New Roman" w:eastAsia="Times New Roman" w:hAnsi="Times New Roman" w:cs="Times New Roman"/>
          <w:b/>
          <w:sz w:val="24"/>
          <w:szCs w:val="24"/>
        </w:rPr>
        <w:t>ως τεκμήριο ανταγωνιστικότητας</w:t>
      </w:r>
      <w:r w:rsidRPr="00BD6A6A">
        <w:rPr>
          <w:rFonts w:ascii="Times New Roman" w:eastAsia="Times New Roman" w:hAnsi="Times New Roman" w:cs="Times New Roman"/>
          <w:sz w:val="24"/>
          <w:szCs w:val="24"/>
        </w:rPr>
        <w:t xml:space="preserve"> και αποτελεσματικής λειτουργίας, </w:t>
      </w:r>
      <w:r w:rsidR="00BD6A6A" w:rsidRPr="00BD6A6A">
        <w:rPr>
          <w:rFonts w:ascii="Times New Roman" w:eastAsia="Times New Roman" w:hAnsi="Times New Roman" w:cs="Times New Roman"/>
          <w:sz w:val="24"/>
          <w:szCs w:val="24"/>
        </w:rPr>
        <w:t xml:space="preserve">που </w:t>
      </w:r>
      <w:r w:rsidRPr="00BD6A6A">
        <w:rPr>
          <w:rFonts w:ascii="Times New Roman" w:eastAsia="Times New Roman" w:hAnsi="Times New Roman" w:cs="Times New Roman"/>
          <w:sz w:val="24"/>
          <w:szCs w:val="24"/>
        </w:rPr>
        <w:t>οδ</w:t>
      </w:r>
      <w:r w:rsidR="00BD6A6A" w:rsidRPr="00BD6A6A">
        <w:rPr>
          <w:rFonts w:ascii="Times New Roman" w:eastAsia="Times New Roman" w:hAnsi="Times New Roman" w:cs="Times New Roman"/>
          <w:sz w:val="24"/>
          <w:szCs w:val="24"/>
        </w:rPr>
        <w:t xml:space="preserve">ήγησαν </w:t>
      </w:r>
      <w:r w:rsidRPr="00FC3F30">
        <w:rPr>
          <w:rFonts w:ascii="Times New Roman" w:eastAsia="Times New Roman" w:hAnsi="Times New Roman" w:cs="Times New Roman"/>
          <w:b/>
          <w:sz w:val="24"/>
          <w:szCs w:val="24"/>
        </w:rPr>
        <w:t>στον</w:t>
      </w:r>
      <w:r w:rsidR="00226717" w:rsidRPr="00FC3F30">
        <w:rPr>
          <w:rFonts w:ascii="Times New Roman" w:eastAsia="Times New Roman" w:hAnsi="Times New Roman" w:cs="Times New Roman"/>
          <w:b/>
          <w:sz w:val="24"/>
          <w:szCs w:val="24"/>
        </w:rPr>
        <w:t xml:space="preserve">σχεδόν </w:t>
      </w:r>
      <w:r w:rsidR="007A381D" w:rsidRPr="00FC3F30">
        <w:rPr>
          <w:rFonts w:ascii="Times New Roman" w:eastAsia="Times New Roman" w:hAnsi="Times New Roman" w:cs="Times New Roman"/>
          <w:b/>
          <w:sz w:val="24"/>
          <w:szCs w:val="24"/>
        </w:rPr>
        <w:t>τριπλασ</w:t>
      </w:r>
      <w:r w:rsidRPr="00FC3F30">
        <w:rPr>
          <w:rFonts w:ascii="Times New Roman" w:eastAsia="Times New Roman" w:hAnsi="Times New Roman" w:cs="Times New Roman"/>
          <w:b/>
          <w:sz w:val="24"/>
          <w:szCs w:val="24"/>
        </w:rPr>
        <w:t>ιασμό</w:t>
      </w:r>
      <w:r w:rsidRPr="00BD6A6A">
        <w:rPr>
          <w:rFonts w:ascii="Times New Roman" w:eastAsia="Times New Roman" w:hAnsi="Times New Roman" w:cs="Times New Roman"/>
          <w:sz w:val="24"/>
          <w:szCs w:val="24"/>
        </w:rPr>
        <w:t xml:space="preserve"> της χρηματιστηριακής </w:t>
      </w:r>
      <w:r w:rsidRPr="00FC3F30">
        <w:rPr>
          <w:rFonts w:ascii="Times New Roman" w:eastAsia="Times New Roman" w:hAnsi="Times New Roman" w:cs="Times New Roman"/>
          <w:b/>
          <w:sz w:val="24"/>
          <w:szCs w:val="24"/>
        </w:rPr>
        <w:t>αξίας</w:t>
      </w:r>
      <w:r w:rsidRPr="00BD6A6A">
        <w:rPr>
          <w:rFonts w:ascii="Times New Roman" w:eastAsia="Times New Roman" w:hAnsi="Times New Roman" w:cs="Times New Roman"/>
          <w:sz w:val="24"/>
          <w:szCs w:val="24"/>
        </w:rPr>
        <w:t xml:space="preserve"> του Ομίλου την τριετία 2015-2017 [</w:t>
      </w:r>
      <w:r w:rsidR="007A381D" w:rsidRPr="007A381D">
        <w:rPr>
          <w:rFonts w:ascii="Times New Roman" w:eastAsia="Times New Roman" w:hAnsi="Times New Roman" w:cs="Times New Roman"/>
          <w:b/>
          <w:sz w:val="24"/>
          <w:szCs w:val="24"/>
        </w:rPr>
        <w:t>886,34</w:t>
      </w:r>
      <w:r w:rsidR="007A381D">
        <w:rPr>
          <w:rFonts w:ascii="Times New Roman" w:eastAsia="Times New Roman" w:hAnsi="Times New Roman" w:cs="Times New Roman"/>
          <w:sz w:val="24"/>
          <w:szCs w:val="24"/>
        </w:rPr>
        <w:t xml:space="preserve"> εκατ. ευρώ </w:t>
      </w:r>
      <w:r w:rsidRPr="00BD6A6A">
        <w:rPr>
          <w:rFonts w:ascii="Times New Roman" w:eastAsia="Times New Roman" w:hAnsi="Times New Roman" w:cs="Times New Roman"/>
          <w:sz w:val="24"/>
          <w:szCs w:val="24"/>
        </w:rPr>
        <w:t>(</w:t>
      </w:r>
      <w:r w:rsidR="00E32F66">
        <w:rPr>
          <w:rFonts w:ascii="Times New Roman" w:eastAsia="Times New Roman" w:hAnsi="Times New Roman" w:cs="Times New Roman"/>
          <w:sz w:val="24"/>
          <w:szCs w:val="24"/>
        </w:rPr>
        <w:t xml:space="preserve">11.2.2016 </w:t>
      </w:r>
      <w:r w:rsidRPr="00BD6A6A">
        <w:rPr>
          <w:rFonts w:ascii="Times New Roman" w:eastAsia="Times New Roman" w:hAnsi="Times New Roman" w:cs="Times New Roman"/>
          <w:sz w:val="24"/>
          <w:szCs w:val="24"/>
        </w:rPr>
        <w:t>ελάχιστ</w:t>
      </w:r>
      <w:r w:rsidR="00EA552C">
        <w:rPr>
          <w:rFonts w:ascii="Times New Roman" w:eastAsia="Times New Roman" w:hAnsi="Times New Roman" w:cs="Times New Roman"/>
          <w:sz w:val="24"/>
          <w:szCs w:val="24"/>
        </w:rPr>
        <w:t xml:space="preserve">η </w:t>
      </w:r>
      <w:r w:rsidR="00E32F66">
        <w:rPr>
          <w:rFonts w:ascii="Times New Roman" w:eastAsia="Times New Roman" w:hAnsi="Times New Roman" w:cs="Times New Roman"/>
          <w:sz w:val="24"/>
          <w:szCs w:val="24"/>
        </w:rPr>
        <w:t xml:space="preserve">τιμή δείκτη ΧΑΑ </w:t>
      </w:r>
      <w:r w:rsidR="00EA552C">
        <w:rPr>
          <w:rFonts w:ascii="Times New Roman" w:eastAsia="Times New Roman" w:hAnsi="Times New Roman" w:cs="Times New Roman"/>
          <w:sz w:val="24"/>
          <w:szCs w:val="24"/>
        </w:rPr>
        <w:t>2015-2017</w:t>
      </w:r>
      <w:r w:rsidR="00AE01F8">
        <w:rPr>
          <w:rFonts w:ascii="Times New Roman" w:eastAsia="Times New Roman" w:hAnsi="Times New Roman" w:cs="Times New Roman"/>
          <w:sz w:val="24"/>
          <w:szCs w:val="24"/>
        </w:rPr>
        <w:t xml:space="preserve"> και ελάχιστη τιμή </w:t>
      </w:r>
      <w:r w:rsidR="00AE01F8">
        <w:rPr>
          <w:rFonts w:ascii="Times New Roman" w:eastAsia="Times New Roman" w:hAnsi="Times New Roman" w:cs="Times New Roman"/>
          <w:sz w:val="24"/>
          <w:szCs w:val="24"/>
        </w:rPr>
        <w:lastRenderedPageBreak/>
        <w:t xml:space="preserve">μετοχής  ΕΛΠΕ 2015-2017 </w:t>
      </w:r>
      <w:r w:rsidR="00AE01F8" w:rsidRPr="00AE01F8">
        <w:rPr>
          <w:rFonts w:ascii="Times New Roman" w:eastAsia="Times New Roman" w:hAnsi="Times New Roman" w:cs="Times New Roman"/>
          <w:b/>
          <w:sz w:val="24"/>
          <w:szCs w:val="24"/>
        </w:rPr>
        <w:t>2.9</w:t>
      </w:r>
      <w:r w:rsidR="00AE01F8">
        <w:rPr>
          <w:rFonts w:ascii="Times New Roman" w:eastAsia="Times New Roman" w:hAnsi="Times New Roman" w:cs="Times New Roman"/>
          <w:sz w:val="24"/>
          <w:szCs w:val="24"/>
        </w:rPr>
        <w:t xml:space="preserve"> ευρώ /μετοχή</w:t>
      </w:r>
      <w:r w:rsidR="00EA552C">
        <w:rPr>
          <w:rFonts w:ascii="Times New Roman" w:eastAsia="Times New Roman" w:hAnsi="Times New Roman" w:cs="Times New Roman"/>
          <w:sz w:val="24"/>
          <w:szCs w:val="24"/>
        </w:rPr>
        <w:t>)</w:t>
      </w:r>
      <w:r w:rsidR="00BD6A6A" w:rsidRPr="00BD6A6A">
        <w:rPr>
          <w:rFonts w:ascii="Times New Roman" w:eastAsia="Times New Roman" w:hAnsi="Times New Roman" w:cs="Times New Roman"/>
          <w:sz w:val="24"/>
          <w:szCs w:val="24"/>
        </w:rPr>
        <w:t xml:space="preserve">, </w:t>
      </w:r>
      <w:r w:rsidR="007A381D" w:rsidRPr="007A381D">
        <w:rPr>
          <w:rFonts w:ascii="Times New Roman" w:eastAsia="Times New Roman" w:hAnsi="Times New Roman" w:cs="Times New Roman"/>
          <w:b/>
          <w:sz w:val="24"/>
          <w:szCs w:val="24"/>
        </w:rPr>
        <w:t>2.5</w:t>
      </w:r>
      <w:r w:rsidR="00EA552C">
        <w:rPr>
          <w:rFonts w:ascii="Times New Roman" w:eastAsia="Times New Roman" w:hAnsi="Times New Roman" w:cs="Times New Roman"/>
          <w:b/>
          <w:sz w:val="24"/>
          <w:szCs w:val="24"/>
        </w:rPr>
        <w:t>25</w:t>
      </w:r>
      <w:r w:rsidR="00BD6A6A" w:rsidRPr="00BD6A6A">
        <w:rPr>
          <w:rFonts w:ascii="Times New Roman" w:eastAsia="Times New Roman" w:hAnsi="Times New Roman" w:cs="Times New Roman"/>
          <w:sz w:val="24"/>
          <w:szCs w:val="24"/>
        </w:rPr>
        <w:t xml:space="preserve">εκατ. ευρώ </w:t>
      </w:r>
      <w:r w:rsidR="00EA552C">
        <w:rPr>
          <w:rFonts w:ascii="Times New Roman" w:eastAsia="Times New Roman" w:hAnsi="Times New Roman" w:cs="Times New Roman"/>
          <w:sz w:val="24"/>
          <w:szCs w:val="24"/>
        </w:rPr>
        <w:t>(</w:t>
      </w:r>
      <w:r w:rsidR="00E32F66">
        <w:rPr>
          <w:rFonts w:ascii="Times New Roman" w:eastAsia="Times New Roman" w:hAnsi="Times New Roman" w:cs="Times New Roman"/>
          <w:sz w:val="24"/>
          <w:szCs w:val="24"/>
        </w:rPr>
        <w:t xml:space="preserve">17.7.2017 </w:t>
      </w:r>
      <w:r w:rsidR="00EA552C">
        <w:rPr>
          <w:rFonts w:ascii="Times New Roman" w:eastAsia="Times New Roman" w:hAnsi="Times New Roman" w:cs="Times New Roman"/>
          <w:sz w:val="24"/>
          <w:szCs w:val="24"/>
        </w:rPr>
        <w:t xml:space="preserve">μέγιστη </w:t>
      </w:r>
      <w:r w:rsidR="00E32F66">
        <w:rPr>
          <w:rFonts w:ascii="Times New Roman" w:eastAsia="Times New Roman" w:hAnsi="Times New Roman" w:cs="Times New Roman"/>
          <w:sz w:val="24"/>
          <w:szCs w:val="24"/>
        </w:rPr>
        <w:t xml:space="preserve">τιμή μετοχής ΕΛΠΕ </w:t>
      </w:r>
      <w:r w:rsidR="00EA552C">
        <w:rPr>
          <w:rFonts w:ascii="Times New Roman" w:eastAsia="Times New Roman" w:hAnsi="Times New Roman" w:cs="Times New Roman"/>
          <w:sz w:val="24"/>
          <w:szCs w:val="24"/>
        </w:rPr>
        <w:t>τριετίας 2015-2017</w:t>
      </w:r>
      <w:r w:rsidR="00AE01F8" w:rsidRPr="00AE01F8">
        <w:rPr>
          <w:rFonts w:ascii="Times New Roman" w:eastAsia="Times New Roman" w:hAnsi="Times New Roman" w:cs="Times New Roman"/>
          <w:b/>
          <w:sz w:val="24"/>
          <w:szCs w:val="24"/>
        </w:rPr>
        <w:t>8,26</w:t>
      </w:r>
      <w:r w:rsidR="00AE01F8">
        <w:rPr>
          <w:rFonts w:ascii="Times New Roman" w:eastAsia="Times New Roman" w:hAnsi="Times New Roman" w:cs="Times New Roman"/>
          <w:sz w:val="24"/>
          <w:szCs w:val="24"/>
        </w:rPr>
        <w:t xml:space="preserve"> ευρώ/μετοχή</w:t>
      </w:r>
      <w:r w:rsidR="00EA552C">
        <w:rPr>
          <w:rFonts w:ascii="Times New Roman" w:eastAsia="Times New Roman" w:hAnsi="Times New Roman" w:cs="Times New Roman"/>
          <w:sz w:val="24"/>
          <w:szCs w:val="24"/>
        </w:rPr>
        <w:t xml:space="preserve">) και </w:t>
      </w:r>
      <w:r w:rsidR="00EA552C" w:rsidRPr="00EA552C">
        <w:rPr>
          <w:rFonts w:ascii="Times New Roman" w:eastAsia="Times New Roman" w:hAnsi="Times New Roman" w:cs="Times New Roman"/>
          <w:b/>
          <w:sz w:val="24"/>
          <w:szCs w:val="24"/>
        </w:rPr>
        <w:t>2.598</w:t>
      </w:r>
      <w:r w:rsidR="00EA552C">
        <w:rPr>
          <w:rFonts w:ascii="Times New Roman" w:eastAsia="Times New Roman" w:hAnsi="Times New Roman" w:cs="Times New Roman"/>
          <w:sz w:val="24"/>
          <w:szCs w:val="24"/>
        </w:rPr>
        <w:t xml:space="preserve"> εκατ. ευρώ </w:t>
      </w:r>
      <w:r w:rsidR="00AE01F8">
        <w:rPr>
          <w:rFonts w:ascii="Times New Roman" w:eastAsia="Times New Roman" w:hAnsi="Times New Roman" w:cs="Times New Roman"/>
          <w:sz w:val="24"/>
          <w:szCs w:val="24"/>
        </w:rPr>
        <w:t xml:space="preserve">αξία Ομίλου </w:t>
      </w:r>
      <w:r w:rsidR="00BD6A6A" w:rsidRPr="00BD6A6A">
        <w:rPr>
          <w:rFonts w:ascii="Times New Roman" w:eastAsia="Times New Roman" w:hAnsi="Times New Roman" w:cs="Times New Roman"/>
          <w:sz w:val="24"/>
          <w:szCs w:val="24"/>
        </w:rPr>
        <w:t xml:space="preserve">με βάση την τιμή στόχο </w:t>
      </w:r>
      <w:r w:rsidR="00BD6A6A" w:rsidRPr="00AE01F8">
        <w:rPr>
          <w:rFonts w:ascii="Times New Roman" w:eastAsia="Times New Roman" w:hAnsi="Times New Roman" w:cs="Times New Roman"/>
          <w:b/>
          <w:sz w:val="24"/>
          <w:szCs w:val="24"/>
        </w:rPr>
        <w:t>8,5</w:t>
      </w:r>
      <w:r w:rsidR="00BD6A6A" w:rsidRPr="00BD6A6A">
        <w:rPr>
          <w:rFonts w:ascii="Times New Roman" w:eastAsia="Times New Roman" w:hAnsi="Times New Roman" w:cs="Times New Roman"/>
          <w:sz w:val="24"/>
          <w:szCs w:val="24"/>
        </w:rPr>
        <w:t xml:space="preserve"> ευρώ ανά μετοχή της </w:t>
      </w:r>
      <w:r w:rsidR="00BD6A6A" w:rsidRPr="00BD6A6A">
        <w:rPr>
          <w:rFonts w:ascii="Times New Roman" w:eastAsia="Times New Roman" w:hAnsi="Times New Roman" w:cs="Times New Roman"/>
          <w:sz w:val="24"/>
          <w:szCs w:val="24"/>
          <w:lang w:val="en-US"/>
        </w:rPr>
        <w:t>UBS</w:t>
      </w:r>
      <w:r w:rsidR="007A381D">
        <w:rPr>
          <w:rFonts w:ascii="Times New Roman" w:eastAsia="Times New Roman" w:hAnsi="Times New Roman" w:cs="Times New Roman"/>
          <w:sz w:val="24"/>
          <w:szCs w:val="24"/>
        </w:rPr>
        <w:t>]</w:t>
      </w:r>
      <w:r w:rsidRPr="00BD6A6A">
        <w:rPr>
          <w:rFonts w:ascii="Times New Roman" w:eastAsia="Times New Roman" w:hAnsi="Times New Roman" w:cs="Times New Roman"/>
          <w:sz w:val="24"/>
          <w:szCs w:val="24"/>
        </w:rPr>
        <w:t xml:space="preserve">και σε ανάλογη αύξηση της πραγματικής αξίας με βάση το μέσο συγκρίσιμο </w:t>
      </w:r>
      <w:r w:rsidRPr="00BD6A6A">
        <w:rPr>
          <w:rFonts w:ascii="Times New Roman" w:eastAsia="Times New Roman" w:hAnsi="Times New Roman" w:cs="Times New Roman"/>
          <w:sz w:val="24"/>
          <w:szCs w:val="24"/>
          <w:lang w:val="en-US"/>
        </w:rPr>
        <w:t>EBITDA</w:t>
      </w:r>
      <w:r w:rsidRPr="00BD6A6A">
        <w:rPr>
          <w:rFonts w:ascii="Times New Roman" w:eastAsia="Times New Roman" w:hAnsi="Times New Roman" w:cs="Times New Roman"/>
          <w:sz w:val="24"/>
          <w:szCs w:val="24"/>
        </w:rPr>
        <w:t xml:space="preserve"> τριετίας 780 εκατ. ευρώ περίπου και τη διαρκή βελτίωση των οικονομικών μεγεθών</w:t>
      </w:r>
      <w:r w:rsidR="00BD6A6A" w:rsidRPr="00BD6A6A">
        <w:rPr>
          <w:rFonts w:ascii="Times New Roman" w:eastAsia="Times New Roman" w:hAnsi="Times New Roman" w:cs="Times New Roman"/>
          <w:sz w:val="24"/>
          <w:szCs w:val="24"/>
        </w:rPr>
        <w:t>.</w:t>
      </w:r>
    </w:p>
    <w:p w:rsidR="00BD6A6A" w:rsidRDefault="00D25DCF" w:rsidP="00BD6A6A">
      <w:pPr>
        <w:pStyle w:val="a3"/>
        <w:numPr>
          <w:ilvl w:val="0"/>
          <w:numId w:val="20"/>
        </w:numPr>
        <w:spacing w:before="100" w:beforeAutospacing="1" w:after="120" w:line="360" w:lineRule="auto"/>
        <w:jc w:val="both"/>
        <w:textAlignment w:val="top"/>
        <w:rPr>
          <w:rFonts w:ascii="Times New Roman" w:eastAsia="Times New Roman" w:hAnsi="Times New Roman" w:cs="Times New Roman"/>
          <w:sz w:val="24"/>
          <w:szCs w:val="24"/>
        </w:rPr>
      </w:pPr>
      <w:r w:rsidRPr="00BD6A6A">
        <w:rPr>
          <w:rFonts w:ascii="Times New Roman" w:eastAsia="Times New Roman" w:hAnsi="Times New Roman" w:cs="Times New Roman"/>
          <w:b/>
          <w:sz w:val="24"/>
          <w:szCs w:val="24"/>
        </w:rPr>
        <w:t>η ανάπτυξη διεθνών συνεργασιών</w:t>
      </w:r>
      <w:r w:rsidRPr="00BD6A6A">
        <w:rPr>
          <w:rFonts w:ascii="Times New Roman" w:eastAsia="Times New Roman" w:hAnsi="Times New Roman" w:cs="Times New Roman"/>
          <w:sz w:val="24"/>
          <w:szCs w:val="24"/>
        </w:rPr>
        <w:t xml:space="preserve">  στα ζητήματα ασφάλειας, τεχνογνωσίας και η διεύρυνση και ενίσχυση των συνεργασιών στους τομείς προμηθειών και εμπορίας </w:t>
      </w:r>
      <w:r w:rsidRPr="00BD6A6A">
        <w:rPr>
          <w:rFonts w:ascii="Times New Roman" w:eastAsia="Times New Roman" w:hAnsi="Times New Roman" w:cs="Times New Roman"/>
          <w:b/>
          <w:sz w:val="24"/>
          <w:szCs w:val="24"/>
        </w:rPr>
        <w:t>ως τεκμήριο εξωστρέφειας</w:t>
      </w:r>
      <w:r w:rsidRPr="00BD6A6A">
        <w:rPr>
          <w:rFonts w:ascii="Times New Roman" w:eastAsia="Times New Roman" w:hAnsi="Times New Roman" w:cs="Times New Roman"/>
          <w:sz w:val="24"/>
          <w:szCs w:val="24"/>
        </w:rPr>
        <w:t>, και ενεργού διεθνούς παρουσίας</w:t>
      </w:r>
      <w:r w:rsidR="00BD6A6A">
        <w:rPr>
          <w:rFonts w:ascii="Times New Roman" w:eastAsia="Times New Roman" w:hAnsi="Times New Roman" w:cs="Times New Roman"/>
          <w:sz w:val="24"/>
          <w:szCs w:val="24"/>
        </w:rPr>
        <w:t xml:space="preserve">, καθώς και </w:t>
      </w:r>
    </w:p>
    <w:p w:rsidR="00667AAD" w:rsidRDefault="00BD6A6A" w:rsidP="00BD6A6A">
      <w:pPr>
        <w:pStyle w:val="a3"/>
        <w:numPr>
          <w:ilvl w:val="0"/>
          <w:numId w:val="20"/>
        </w:numPr>
        <w:spacing w:before="100" w:beforeAutospacing="1" w:after="12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οι επιδόσεις </w:t>
      </w:r>
      <w:r w:rsidRPr="00BD6A6A">
        <w:rPr>
          <w:rFonts w:ascii="Times New Roman" w:eastAsia="Times New Roman" w:hAnsi="Times New Roman" w:cs="Times New Roman"/>
          <w:sz w:val="24"/>
          <w:szCs w:val="24"/>
        </w:rPr>
        <w:t xml:space="preserve">του </w:t>
      </w:r>
      <w:r>
        <w:rPr>
          <w:rFonts w:ascii="Times New Roman" w:eastAsia="Times New Roman" w:hAnsi="Times New Roman" w:cs="Times New Roman"/>
          <w:sz w:val="24"/>
          <w:szCs w:val="24"/>
        </w:rPr>
        <w:t xml:space="preserve">Ομίλου στην προώθηση </w:t>
      </w:r>
      <w:r w:rsidRPr="00BD6A6A">
        <w:rPr>
          <w:rFonts w:ascii="Times New Roman" w:eastAsia="Times New Roman" w:hAnsi="Times New Roman" w:cs="Times New Roman"/>
          <w:sz w:val="24"/>
          <w:szCs w:val="24"/>
        </w:rPr>
        <w:t xml:space="preserve">της </w:t>
      </w:r>
      <w:r w:rsidRPr="00BD6A6A">
        <w:rPr>
          <w:rFonts w:ascii="Times New Roman" w:eastAsia="Times New Roman" w:hAnsi="Times New Roman" w:cs="Times New Roman"/>
          <w:b/>
          <w:sz w:val="24"/>
          <w:szCs w:val="24"/>
        </w:rPr>
        <w:t>βιώσιμης ανάπτυξηςκαι</w:t>
      </w:r>
      <w:r>
        <w:rPr>
          <w:rFonts w:ascii="Times New Roman" w:eastAsia="Times New Roman" w:hAnsi="Times New Roman" w:cs="Times New Roman"/>
          <w:sz w:val="24"/>
          <w:szCs w:val="24"/>
        </w:rPr>
        <w:t xml:space="preserve"> της υλοποίησης δράσεων </w:t>
      </w:r>
      <w:r w:rsidRPr="00BD6A6A">
        <w:rPr>
          <w:rFonts w:ascii="Times New Roman" w:eastAsia="Times New Roman" w:hAnsi="Times New Roman" w:cs="Times New Roman"/>
          <w:b/>
          <w:sz w:val="24"/>
          <w:szCs w:val="24"/>
        </w:rPr>
        <w:t>Εταιρικής Κοινωνικής Ευθύνης</w:t>
      </w:r>
      <w:r>
        <w:rPr>
          <w:rFonts w:ascii="Times New Roman" w:eastAsia="Times New Roman" w:hAnsi="Times New Roman" w:cs="Times New Roman"/>
          <w:sz w:val="24"/>
          <w:szCs w:val="24"/>
        </w:rPr>
        <w:t>.</w:t>
      </w:r>
    </w:p>
    <w:p w:rsidR="00BD6A6A" w:rsidRPr="00853001" w:rsidRDefault="00FC3F30" w:rsidP="00BD6A6A">
      <w:pPr>
        <w:spacing w:before="100" w:beforeAutospacing="1" w:after="120" w:line="360" w:lineRule="auto"/>
        <w:ind w:left="6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Μετά διεθνή συγκριτική αξιολόγηση των ισχυρών επιδόσεων της τριετίας, ο Όμιλος ΕΛΠΕ συμπεριλήφθηκε στις 100 κορυφαίες </w:t>
      </w:r>
      <w:r w:rsidR="00853001">
        <w:rPr>
          <w:rFonts w:ascii="Times New Roman" w:eastAsia="Times New Roman" w:hAnsi="Times New Roman" w:cs="Times New Roman"/>
          <w:sz w:val="24"/>
          <w:szCs w:val="24"/>
        </w:rPr>
        <w:t>ενεργειακές εταιρείες παγκοσμίως (</w:t>
      </w:r>
      <w:r w:rsidR="00853001">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ΟΡ</w:t>
      </w:r>
      <w:r w:rsidR="00853001" w:rsidRPr="00853001">
        <w:rPr>
          <w:rFonts w:ascii="Times New Roman" w:eastAsia="Times New Roman" w:hAnsi="Times New Roman" w:cs="Times New Roman"/>
          <w:sz w:val="24"/>
          <w:szCs w:val="24"/>
        </w:rPr>
        <w:t xml:space="preserve"> 100 </w:t>
      </w:r>
      <w:r w:rsidR="00853001">
        <w:rPr>
          <w:rFonts w:ascii="Times New Roman" w:eastAsia="Times New Roman" w:hAnsi="Times New Roman" w:cs="Times New Roman"/>
          <w:sz w:val="24"/>
          <w:szCs w:val="24"/>
          <w:lang w:val="en-US"/>
        </w:rPr>
        <w:t>GlobalEnergyLeaders</w:t>
      </w:r>
      <w:r w:rsidR="00853001" w:rsidRPr="00853001">
        <w:rPr>
          <w:rFonts w:ascii="Times New Roman" w:eastAsia="Times New Roman" w:hAnsi="Times New Roman" w:cs="Times New Roman"/>
          <w:sz w:val="24"/>
          <w:szCs w:val="24"/>
        </w:rPr>
        <w:t>)</w:t>
      </w:r>
      <w:r w:rsidR="00D314A0">
        <w:rPr>
          <w:rFonts w:ascii="Times New Roman" w:eastAsia="Times New Roman" w:hAnsi="Times New Roman" w:cs="Times New Roman"/>
          <w:sz w:val="24"/>
          <w:szCs w:val="24"/>
        </w:rPr>
        <w:t>,</w:t>
      </w:r>
      <w:r w:rsidR="007A381D">
        <w:rPr>
          <w:rFonts w:ascii="Times New Roman" w:eastAsia="Times New Roman" w:hAnsi="Times New Roman" w:cs="Times New Roman"/>
          <w:sz w:val="24"/>
          <w:szCs w:val="24"/>
        </w:rPr>
        <w:t>σ</w:t>
      </w:r>
      <w:r w:rsidR="00853001">
        <w:rPr>
          <w:rFonts w:ascii="Times New Roman" w:eastAsia="Times New Roman" w:hAnsi="Times New Roman" w:cs="Times New Roman"/>
          <w:sz w:val="24"/>
          <w:szCs w:val="24"/>
        </w:rPr>
        <w:t>ύμφωνα με την κατάταξη της</w:t>
      </w:r>
      <w:r w:rsidR="00853001">
        <w:rPr>
          <w:rFonts w:ascii="Times New Roman" w:eastAsia="Times New Roman" w:hAnsi="Times New Roman" w:cs="Times New Roman"/>
          <w:sz w:val="24"/>
          <w:szCs w:val="24"/>
          <w:lang w:val="en-US"/>
        </w:rPr>
        <w:t>ThomsonReuters</w:t>
      </w:r>
      <w:r>
        <w:rPr>
          <w:rFonts w:ascii="Times New Roman" w:eastAsia="Times New Roman" w:hAnsi="Times New Roman" w:cs="Times New Roman"/>
          <w:sz w:val="24"/>
          <w:szCs w:val="24"/>
        </w:rPr>
        <w:t xml:space="preserve"> για το 2017</w:t>
      </w:r>
      <w:r w:rsidR="00853001">
        <w:rPr>
          <w:rStyle w:val="a7"/>
          <w:rFonts w:ascii="Times New Roman" w:eastAsia="Times New Roman" w:hAnsi="Times New Roman" w:cs="Times New Roman"/>
          <w:sz w:val="24"/>
          <w:szCs w:val="24"/>
          <w:lang w:val="en-US"/>
        </w:rPr>
        <w:footnoteReference w:id="9"/>
      </w:r>
      <w:r>
        <w:rPr>
          <w:rFonts w:ascii="Times New Roman" w:eastAsia="Times New Roman" w:hAnsi="Times New Roman" w:cs="Times New Roman"/>
          <w:sz w:val="24"/>
          <w:szCs w:val="24"/>
        </w:rPr>
        <w:t>, διάκριση πουδικαιώνει τις επιλογές του αναπτυξιακού σχεδιασμού και επιβεβαιώνει την αποτελεσματικότητα της λειτουργίας του Ομίλου.</w:t>
      </w:r>
    </w:p>
    <w:p w:rsidR="00853001" w:rsidRDefault="00853001" w:rsidP="00BD6A6A">
      <w:pPr>
        <w:spacing w:before="100" w:beforeAutospacing="1" w:after="120" w:line="360" w:lineRule="auto"/>
        <w:ind w:left="60"/>
        <w:jc w:val="both"/>
        <w:textAlignment w:val="top"/>
        <w:rPr>
          <w:rFonts w:ascii="Times New Roman" w:eastAsia="Times New Roman" w:hAnsi="Times New Roman" w:cs="Times New Roman"/>
          <w:sz w:val="24"/>
          <w:szCs w:val="24"/>
        </w:rPr>
      </w:pPr>
      <w:r w:rsidRPr="00E37DD1">
        <w:rPr>
          <w:rFonts w:ascii="Times New Roman" w:eastAsia="Times New Roman" w:hAnsi="Times New Roman" w:cs="Times New Roman"/>
          <w:b/>
          <w:sz w:val="24"/>
          <w:szCs w:val="24"/>
        </w:rPr>
        <w:t>Με τον</w:t>
      </w:r>
      <w:r>
        <w:rPr>
          <w:rFonts w:ascii="Times New Roman" w:eastAsia="Times New Roman" w:hAnsi="Times New Roman" w:cs="Times New Roman"/>
          <w:sz w:val="24"/>
          <w:szCs w:val="24"/>
        </w:rPr>
        <w:t xml:space="preserve"> μεσομακροπρόθεσμο </w:t>
      </w:r>
      <w:r w:rsidRPr="00E37DD1">
        <w:rPr>
          <w:rFonts w:ascii="Times New Roman" w:eastAsia="Times New Roman" w:hAnsi="Times New Roman" w:cs="Times New Roman"/>
          <w:b/>
          <w:sz w:val="24"/>
          <w:szCs w:val="24"/>
        </w:rPr>
        <w:t>σχεδιασμό</w:t>
      </w:r>
      <w:r w:rsidR="001D0B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προσανατολισμένο </w:t>
      </w:r>
      <w:r w:rsidRPr="00E37DD1">
        <w:rPr>
          <w:rFonts w:ascii="Times New Roman" w:eastAsia="Times New Roman" w:hAnsi="Times New Roman" w:cs="Times New Roman"/>
          <w:b/>
          <w:sz w:val="24"/>
          <w:szCs w:val="24"/>
        </w:rPr>
        <w:t>στον ενεργειακό</w:t>
      </w:r>
      <w:r>
        <w:rPr>
          <w:rFonts w:ascii="Times New Roman" w:eastAsia="Times New Roman" w:hAnsi="Times New Roman" w:cs="Times New Roman"/>
          <w:sz w:val="24"/>
          <w:szCs w:val="24"/>
        </w:rPr>
        <w:t xml:space="preserve"> και </w:t>
      </w:r>
      <w:r w:rsidRPr="00E37DD1">
        <w:rPr>
          <w:rFonts w:ascii="Times New Roman" w:eastAsia="Times New Roman" w:hAnsi="Times New Roman" w:cs="Times New Roman"/>
          <w:b/>
          <w:sz w:val="24"/>
          <w:szCs w:val="24"/>
        </w:rPr>
        <w:t>ψηφιακό μετασχηματισμό</w:t>
      </w:r>
      <w:r>
        <w:rPr>
          <w:rFonts w:ascii="Times New Roman" w:eastAsia="Times New Roman" w:hAnsi="Times New Roman" w:cs="Times New Roman"/>
          <w:sz w:val="24"/>
          <w:szCs w:val="24"/>
        </w:rPr>
        <w:t xml:space="preserve">, καθώς επίσης και </w:t>
      </w:r>
      <w:r w:rsidRPr="00E37DD1">
        <w:rPr>
          <w:rFonts w:ascii="Times New Roman" w:eastAsia="Times New Roman" w:hAnsi="Times New Roman" w:cs="Times New Roman"/>
          <w:b/>
          <w:sz w:val="24"/>
          <w:szCs w:val="24"/>
        </w:rPr>
        <w:t>στην ενίσχυση της ενεργειακής ασφάλειας</w:t>
      </w:r>
      <w:r>
        <w:rPr>
          <w:rFonts w:ascii="Times New Roman" w:eastAsia="Times New Roman" w:hAnsi="Times New Roman" w:cs="Times New Roman"/>
          <w:sz w:val="24"/>
          <w:szCs w:val="24"/>
        </w:rPr>
        <w:t xml:space="preserve"> της χώρας και ειδικότερα </w:t>
      </w:r>
      <w:r w:rsidRPr="00E37DD1">
        <w:rPr>
          <w:rFonts w:ascii="Times New Roman" w:eastAsia="Times New Roman" w:hAnsi="Times New Roman" w:cs="Times New Roman"/>
          <w:b/>
          <w:sz w:val="24"/>
          <w:szCs w:val="24"/>
        </w:rPr>
        <w:t xml:space="preserve">στην αποτελεσματική υλοποίησητου προγράμματος Έρευνας και Παραγωγής </w:t>
      </w:r>
      <w:r>
        <w:rPr>
          <w:rFonts w:ascii="Times New Roman" w:eastAsia="Times New Roman" w:hAnsi="Times New Roman" w:cs="Times New Roman"/>
          <w:sz w:val="24"/>
          <w:szCs w:val="24"/>
        </w:rPr>
        <w:t>Υδρογονανθράκων</w:t>
      </w:r>
      <w:r w:rsidR="00D314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ο Όμιλος δηλώνει εμφατικά παρόν στο εγχείρημα </w:t>
      </w:r>
      <w:r w:rsidR="00FC444A">
        <w:rPr>
          <w:rFonts w:ascii="Times New Roman" w:eastAsia="Times New Roman" w:hAnsi="Times New Roman" w:cs="Times New Roman"/>
          <w:sz w:val="24"/>
          <w:szCs w:val="24"/>
        </w:rPr>
        <w:t xml:space="preserve">του ενεργειακού μετασχηματισμού και </w:t>
      </w:r>
      <w:r>
        <w:rPr>
          <w:rFonts w:ascii="Times New Roman" w:eastAsia="Times New Roman" w:hAnsi="Times New Roman" w:cs="Times New Roman"/>
          <w:sz w:val="24"/>
          <w:szCs w:val="24"/>
        </w:rPr>
        <w:t>της παραγωγικής ανασυγκρότησης της πατρίδας μας.</w:t>
      </w:r>
    </w:p>
    <w:p w:rsidR="00853001" w:rsidRPr="00853001" w:rsidRDefault="00853001" w:rsidP="00BD6A6A">
      <w:pPr>
        <w:spacing w:before="100" w:beforeAutospacing="1" w:after="120" w:line="360" w:lineRule="auto"/>
        <w:ind w:left="60"/>
        <w:jc w:val="both"/>
        <w:textAlignment w:val="top"/>
        <w:rPr>
          <w:rFonts w:ascii="Times New Roman" w:eastAsia="Times New Roman" w:hAnsi="Times New Roman" w:cs="Times New Roman"/>
          <w:sz w:val="24"/>
          <w:szCs w:val="24"/>
        </w:rPr>
      </w:pPr>
    </w:p>
    <w:sectPr w:rsidR="00853001" w:rsidRPr="00853001" w:rsidSect="00707B19">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78" w:rsidRDefault="007C3678" w:rsidP="00FB1A62">
      <w:pPr>
        <w:spacing w:after="0" w:line="240" w:lineRule="auto"/>
      </w:pPr>
      <w:r>
        <w:separator/>
      </w:r>
    </w:p>
  </w:endnote>
  <w:endnote w:type="continuationSeparator" w:id="1">
    <w:p w:rsidR="007C3678" w:rsidRDefault="007C3678" w:rsidP="00FB1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Quicksa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49074"/>
      <w:docPartObj>
        <w:docPartGallery w:val="Page Numbers (Bottom of Page)"/>
        <w:docPartUnique/>
      </w:docPartObj>
    </w:sdtPr>
    <w:sdtEndPr>
      <w:rPr>
        <w:noProof/>
      </w:rPr>
    </w:sdtEndPr>
    <w:sdtContent>
      <w:p w:rsidR="00226717" w:rsidRDefault="00C4540B">
        <w:pPr>
          <w:pStyle w:val="a5"/>
          <w:jc w:val="right"/>
        </w:pPr>
        <w:r>
          <w:fldChar w:fldCharType="begin"/>
        </w:r>
        <w:r w:rsidR="00226717">
          <w:instrText xml:space="preserve"> PAGE   \* MERGEFORMAT </w:instrText>
        </w:r>
        <w:r>
          <w:fldChar w:fldCharType="separate"/>
        </w:r>
        <w:r w:rsidR="00D807C8">
          <w:rPr>
            <w:noProof/>
          </w:rPr>
          <w:t>1</w:t>
        </w:r>
        <w:r>
          <w:rPr>
            <w:noProof/>
          </w:rPr>
          <w:fldChar w:fldCharType="end"/>
        </w:r>
      </w:p>
    </w:sdtContent>
  </w:sdt>
  <w:p w:rsidR="00226717" w:rsidRDefault="002267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78" w:rsidRDefault="007C3678" w:rsidP="00FB1A62">
      <w:pPr>
        <w:spacing w:after="0" w:line="240" w:lineRule="auto"/>
      </w:pPr>
      <w:r>
        <w:separator/>
      </w:r>
    </w:p>
  </w:footnote>
  <w:footnote w:type="continuationSeparator" w:id="1">
    <w:p w:rsidR="007C3678" w:rsidRDefault="007C3678" w:rsidP="00FB1A62">
      <w:pPr>
        <w:spacing w:after="0" w:line="240" w:lineRule="auto"/>
      </w:pPr>
      <w:r>
        <w:continuationSeparator/>
      </w:r>
    </w:p>
  </w:footnote>
  <w:footnote w:id="2">
    <w:p w:rsidR="00226717" w:rsidRPr="003775FE" w:rsidRDefault="00226717" w:rsidP="0099625D">
      <w:pPr>
        <w:pStyle w:val="a6"/>
        <w:ind w:left="142" w:hanging="142"/>
        <w:jc w:val="both"/>
        <w:rPr>
          <w:i/>
        </w:rPr>
      </w:pPr>
      <w:r>
        <w:rPr>
          <w:rStyle w:val="a7"/>
        </w:rPr>
        <w:footnoteRef/>
      </w:r>
      <w:r>
        <w:t>Σύμφωνα με την παρ. 1 του άρθρου 194 της Συνθήκης για τη λειτουργία της Ευρωπαϊκής Ένωσης (ΣΛΕΕ):</w:t>
      </w:r>
      <w:r>
        <w:tab/>
        <w:t>«</w:t>
      </w:r>
      <w:r>
        <w:rPr>
          <w:i/>
        </w:rPr>
        <w:t>Στο πλαίσιο της εγκαθίδρυσης ή της λειτουργίας της εσωτερικής αγοράς και λαμβανομένης υπόψη της απαίτησης να προστατευθεί και να βελτιωθεί το περιβάλλον, η πολιτική της ΄Ενωσης στον τομέα της ενέργειας, σε πνεύμα αλληλεγγύης μεταξύ κρατών μελών, έχει ως στόχο: α) να διασφαλίζει τη λειτουργία της αγοράς ενέργειας, β) να διασφαλίζει τον ενεργειακό εφοδιασμό της Ένωσης, γ) να προωθεί την ενεργειακή αποδοτικότητα και την εξοικονόμηση ενέργειας καθώς και την ανάπτυξη νέων και ανανεώσιμων πηγών ενέργειας και δ) να προωθεί τη διασύνδεση των ενεργειακών δικτύων».</w:t>
      </w:r>
    </w:p>
    <w:p w:rsidR="00226717" w:rsidRPr="0099625D" w:rsidRDefault="00226717">
      <w:pPr>
        <w:pStyle w:val="a6"/>
      </w:pPr>
    </w:p>
  </w:footnote>
  <w:footnote w:id="3">
    <w:p w:rsidR="00226717" w:rsidRPr="005C1E02" w:rsidRDefault="00226717">
      <w:pPr>
        <w:pStyle w:val="a6"/>
        <w:rPr>
          <w:lang w:val="en-US"/>
        </w:rPr>
      </w:pPr>
      <w:r>
        <w:rPr>
          <w:rStyle w:val="a7"/>
        </w:rPr>
        <w:footnoteRef/>
      </w:r>
      <w:r>
        <w:rPr>
          <w:lang w:val="en-US"/>
        </w:rPr>
        <w:t>REN21 “Global Status Report 2017’, June 2017</w:t>
      </w:r>
    </w:p>
  </w:footnote>
  <w:footnote w:id="4">
    <w:p w:rsidR="00226717" w:rsidRPr="00B60583" w:rsidRDefault="00226717">
      <w:pPr>
        <w:pStyle w:val="a6"/>
      </w:pPr>
      <w:r>
        <w:rPr>
          <w:rStyle w:val="a7"/>
        </w:rPr>
        <w:footnoteRef/>
      </w:r>
      <w:r w:rsidRPr="00B60583">
        <w:rPr>
          <w:b/>
        </w:rPr>
        <w:t>Ε</w:t>
      </w:r>
      <w:r w:rsidRPr="00B60583">
        <w:rPr>
          <w:b/>
          <w:lang w:val="en-US"/>
        </w:rPr>
        <w:t>urostat</w:t>
      </w:r>
      <w:r w:rsidRPr="00FB423F">
        <w:t>“</w:t>
      </w:r>
      <w:r>
        <w:rPr>
          <w:lang w:val="en-US"/>
        </w:rPr>
        <w:t>EnergyBalances</w:t>
      </w:r>
      <w:r w:rsidRPr="00FB423F">
        <w:t>, 1990-2008)”</w:t>
      </w:r>
    </w:p>
  </w:footnote>
  <w:footnote w:id="5">
    <w:p w:rsidR="00226717" w:rsidRDefault="00226717" w:rsidP="00B60583">
      <w:pPr>
        <w:pStyle w:val="a6"/>
        <w:ind w:left="142" w:hanging="142"/>
      </w:pPr>
      <w:r>
        <w:rPr>
          <w:rStyle w:val="a7"/>
        </w:rPr>
        <w:footnoteRef/>
      </w:r>
      <w:r w:rsidRPr="00B60583">
        <w:rPr>
          <w:b/>
        </w:rPr>
        <w:t>Υπουργείο Βιομηχανίας, Ενέργειας και Τεχνολογίας</w:t>
      </w:r>
      <w:r w:rsidRPr="00B60583">
        <w:t>, "Ανανεώσιμες Πηγές Ενέργειας στην Ελλάδα: Πρόταση Εθνικής Πολιτικής", Αθήνα Απρίλιος 1989“”</w:t>
      </w:r>
    </w:p>
  </w:footnote>
  <w:footnote w:id="6">
    <w:p w:rsidR="00226717" w:rsidRPr="002936C9" w:rsidRDefault="00226717">
      <w:pPr>
        <w:pStyle w:val="a6"/>
      </w:pPr>
      <w:r>
        <w:rPr>
          <w:rStyle w:val="a7"/>
        </w:rPr>
        <w:footnoteRef/>
      </w:r>
      <w:r>
        <w:rPr>
          <w:lang w:val="en-US"/>
        </w:rPr>
        <w:t>Enerdata</w:t>
      </w:r>
      <w:r w:rsidRPr="002936C9">
        <w:t xml:space="preserve"> 2016 “</w:t>
      </w:r>
      <w:r>
        <w:rPr>
          <w:lang w:val="en-US"/>
        </w:rPr>
        <w:t>EnergyEfficiencyIndicators</w:t>
      </w:r>
      <w:r w:rsidRPr="002936C9">
        <w:t xml:space="preserve">” </w:t>
      </w:r>
    </w:p>
  </w:footnote>
  <w:footnote w:id="7">
    <w:p w:rsidR="00226717" w:rsidRPr="00D00485" w:rsidRDefault="00226717">
      <w:pPr>
        <w:pStyle w:val="a6"/>
        <w:rPr>
          <w:i/>
        </w:rPr>
      </w:pPr>
      <w:r>
        <w:rPr>
          <w:rStyle w:val="a7"/>
        </w:rPr>
        <w:footnoteRef/>
      </w:r>
      <w:r>
        <w:t>Ακαδημία Αθηνών, Επιτροπή Ενέργειας: Πορίσματα ημερίδας με θέμα:</w:t>
      </w:r>
      <w:r w:rsidRPr="00D00485">
        <w:rPr>
          <w:i/>
        </w:rPr>
        <w:t>” Ενεργειακές Προοπτικές της Ελλάδας το 2030 με ορίζοντα το 2050 ”</w:t>
      </w:r>
    </w:p>
  </w:footnote>
  <w:footnote w:id="8">
    <w:p w:rsidR="00226717" w:rsidRPr="00F36CAC" w:rsidRDefault="00226717">
      <w:pPr>
        <w:pStyle w:val="a6"/>
        <w:rPr>
          <w:i/>
          <w:lang w:val="en-US"/>
        </w:rPr>
      </w:pPr>
      <w:r>
        <w:rPr>
          <w:rStyle w:val="a7"/>
        </w:rPr>
        <w:footnoteRef/>
      </w:r>
      <w:r>
        <w:rPr>
          <w:lang w:val="en-US"/>
        </w:rPr>
        <w:t xml:space="preserve">International Energy Agency (IEA) : </w:t>
      </w:r>
      <w:r w:rsidRPr="00F36CAC">
        <w:rPr>
          <w:i/>
          <w:lang w:val="en-US"/>
        </w:rPr>
        <w:t>“Energy Policies of IEA Countries: Greece 2017 Review”</w:t>
      </w:r>
    </w:p>
  </w:footnote>
  <w:footnote w:id="9">
    <w:p w:rsidR="00226717" w:rsidRPr="00853001" w:rsidRDefault="00226717">
      <w:pPr>
        <w:pStyle w:val="a6"/>
        <w:rPr>
          <w:lang w:val="en-US"/>
        </w:rPr>
      </w:pPr>
      <w:r>
        <w:rPr>
          <w:rStyle w:val="a7"/>
        </w:rPr>
        <w:footnoteRef/>
      </w:r>
      <w:r>
        <w:rPr>
          <w:lang w:val="en-US"/>
        </w:rPr>
        <w:t>Thomson Reuters: TOP 100 GLOBAL ENERGY LEADERS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638"/>
    <w:multiLevelType w:val="hybridMultilevel"/>
    <w:tmpl w:val="26D4F8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DEA7FB2"/>
    <w:multiLevelType w:val="hybridMultilevel"/>
    <w:tmpl w:val="79C876A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F6F4C2E"/>
    <w:multiLevelType w:val="multilevel"/>
    <w:tmpl w:val="8AC63CF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77031B"/>
    <w:multiLevelType w:val="hybridMultilevel"/>
    <w:tmpl w:val="31247AC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2B324CCC"/>
    <w:multiLevelType w:val="hybridMultilevel"/>
    <w:tmpl w:val="6FB87E1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5">
    <w:nsid w:val="2B41172A"/>
    <w:multiLevelType w:val="hybridMultilevel"/>
    <w:tmpl w:val="CA64F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0901A9"/>
    <w:multiLevelType w:val="hybridMultilevel"/>
    <w:tmpl w:val="5C1C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87324"/>
    <w:multiLevelType w:val="hybridMultilevel"/>
    <w:tmpl w:val="E2A4455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32FD48A4"/>
    <w:multiLevelType w:val="hybridMultilevel"/>
    <w:tmpl w:val="0DC6C144"/>
    <w:lvl w:ilvl="0" w:tplc="5278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016F2"/>
    <w:multiLevelType w:val="hybridMultilevel"/>
    <w:tmpl w:val="E05E243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46E13C9"/>
    <w:multiLevelType w:val="multilevel"/>
    <w:tmpl w:val="3C725D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1EA6E1B"/>
    <w:multiLevelType w:val="hybridMultilevel"/>
    <w:tmpl w:val="E2A467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FD5546"/>
    <w:multiLevelType w:val="multilevel"/>
    <w:tmpl w:val="B31E02E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29C12EF"/>
    <w:multiLevelType w:val="multilevel"/>
    <w:tmpl w:val="379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33F67"/>
    <w:multiLevelType w:val="hybridMultilevel"/>
    <w:tmpl w:val="029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1548F"/>
    <w:multiLevelType w:val="hybridMultilevel"/>
    <w:tmpl w:val="52E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E21DD"/>
    <w:multiLevelType w:val="hybridMultilevel"/>
    <w:tmpl w:val="812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B72EA"/>
    <w:multiLevelType w:val="hybridMultilevel"/>
    <w:tmpl w:val="805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555E1"/>
    <w:multiLevelType w:val="multilevel"/>
    <w:tmpl w:val="B31E02E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64F06BB"/>
    <w:multiLevelType w:val="hybridMultilevel"/>
    <w:tmpl w:val="111A53B2"/>
    <w:lvl w:ilvl="0" w:tplc="04080001">
      <w:start w:val="1"/>
      <w:numFmt w:val="bullet"/>
      <w:lvlText w:val=""/>
      <w:lvlJc w:val="left"/>
      <w:pPr>
        <w:ind w:left="720" w:hanging="360"/>
      </w:pPr>
      <w:rPr>
        <w:rFonts w:ascii="Symbol" w:hAnsi="Symbol" w:hint="default"/>
      </w:rPr>
    </w:lvl>
    <w:lvl w:ilvl="1" w:tplc="32542070">
      <w:numFmt w:val="bullet"/>
      <w:lvlText w:val=""/>
      <w:lvlJc w:val="left"/>
      <w:pPr>
        <w:ind w:left="1440" w:hanging="360"/>
      </w:pPr>
      <w:rPr>
        <w:rFonts w:ascii="Symbol" w:eastAsiaTheme="minorHAnsi" w:hAnsi="Symbol" w:cstheme="minorBidi"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15"/>
  </w:num>
  <w:num w:numId="5">
    <w:abstractNumId w:val="6"/>
  </w:num>
  <w:num w:numId="6">
    <w:abstractNumId w:val="16"/>
  </w:num>
  <w:num w:numId="7">
    <w:abstractNumId w:val="8"/>
  </w:num>
  <w:num w:numId="8">
    <w:abstractNumId w:val="13"/>
  </w:num>
  <w:num w:numId="9">
    <w:abstractNumId w:val="0"/>
  </w:num>
  <w:num w:numId="10">
    <w:abstractNumId w:val="14"/>
  </w:num>
  <w:num w:numId="11">
    <w:abstractNumId w:val="10"/>
  </w:num>
  <w:num w:numId="12">
    <w:abstractNumId w:val="4"/>
  </w:num>
  <w:num w:numId="13">
    <w:abstractNumId w:val="9"/>
  </w:num>
  <w:num w:numId="14">
    <w:abstractNumId w:val="2"/>
  </w:num>
  <w:num w:numId="15">
    <w:abstractNumId w:val="12"/>
  </w:num>
  <w:num w:numId="16">
    <w:abstractNumId w:val="5"/>
  </w:num>
  <w:num w:numId="17">
    <w:abstractNumId w:val="1"/>
  </w:num>
  <w:num w:numId="18">
    <w:abstractNumId w:val="18"/>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4192"/>
    <w:rsid w:val="00000180"/>
    <w:rsid w:val="00012116"/>
    <w:rsid w:val="0001792B"/>
    <w:rsid w:val="00023A40"/>
    <w:rsid w:val="0004391B"/>
    <w:rsid w:val="00047353"/>
    <w:rsid w:val="00071570"/>
    <w:rsid w:val="00082BFE"/>
    <w:rsid w:val="00094267"/>
    <w:rsid w:val="000A0D0F"/>
    <w:rsid w:val="000B51F5"/>
    <w:rsid w:val="000D6C10"/>
    <w:rsid w:val="000E1051"/>
    <w:rsid w:val="000F5D46"/>
    <w:rsid w:val="00130EE0"/>
    <w:rsid w:val="00156C19"/>
    <w:rsid w:val="001751F9"/>
    <w:rsid w:val="00190549"/>
    <w:rsid w:val="001A5445"/>
    <w:rsid w:val="001D0BB2"/>
    <w:rsid w:val="001D2C19"/>
    <w:rsid w:val="00201CD4"/>
    <w:rsid w:val="002103A6"/>
    <w:rsid w:val="00226717"/>
    <w:rsid w:val="002542DE"/>
    <w:rsid w:val="00254FE1"/>
    <w:rsid w:val="00265DCB"/>
    <w:rsid w:val="00271B48"/>
    <w:rsid w:val="0027444D"/>
    <w:rsid w:val="00274549"/>
    <w:rsid w:val="002936C9"/>
    <w:rsid w:val="002A6BB4"/>
    <w:rsid w:val="002C5A5B"/>
    <w:rsid w:val="002D32E0"/>
    <w:rsid w:val="00320A2A"/>
    <w:rsid w:val="0036138E"/>
    <w:rsid w:val="00367E8E"/>
    <w:rsid w:val="0037792F"/>
    <w:rsid w:val="003A27A0"/>
    <w:rsid w:val="003B08BD"/>
    <w:rsid w:val="003D213F"/>
    <w:rsid w:val="003D4853"/>
    <w:rsid w:val="003F31F7"/>
    <w:rsid w:val="00411D14"/>
    <w:rsid w:val="00427A63"/>
    <w:rsid w:val="004412C8"/>
    <w:rsid w:val="00441407"/>
    <w:rsid w:val="004423FC"/>
    <w:rsid w:val="00443BEB"/>
    <w:rsid w:val="0047285C"/>
    <w:rsid w:val="00497560"/>
    <w:rsid w:val="004C52EF"/>
    <w:rsid w:val="004D4482"/>
    <w:rsid w:val="005207A0"/>
    <w:rsid w:val="0052159C"/>
    <w:rsid w:val="00525457"/>
    <w:rsid w:val="00526E5D"/>
    <w:rsid w:val="005717AB"/>
    <w:rsid w:val="0057214E"/>
    <w:rsid w:val="00577F91"/>
    <w:rsid w:val="00585E48"/>
    <w:rsid w:val="005B263B"/>
    <w:rsid w:val="005C0774"/>
    <w:rsid w:val="005C1E02"/>
    <w:rsid w:val="005D1FF5"/>
    <w:rsid w:val="005E5AE0"/>
    <w:rsid w:val="005F31A1"/>
    <w:rsid w:val="0061260D"/>
    <w:rsid w:val="00617C5B"/>
    <w:rsid w:val="00667AAD"/>
    <w:rsid w:val="006A10E5"/>
    <w:rsid w:val="006B5A37"/>
    <w:rsid w:val="006C2DF9"/>
    <w:rsid w:val="006D6A64"/>
    <w:rsid w:val="006F7154"/>
    <w:rsid w:val="00705598"/>
    <w:rsid w:val="00707B19"/>
    <w:rsid w:val="00710153"/>
    <w:rsid w:val="00721173"/>
    <w:rsid w:val="0076759B"/>
    <w:rsid w:val="00770339"/>
    <w:rsid w:val="00772369"/>
    <w:rsid w:val="00790A2F"/>
    <w:rsid w:val="0079594F"/>
    <w:rsid w:val="007A381D"/>
    <w:rsid w:val="007A4E4B"/>
    <w:rsid w:val="007B0CA7"/>
    <w:rsid w:val="007B4B53"/>
    <w:rsid w:val="007B5C32"/>
    <w:rsid w:val="007C3678"/>
    <w:rsid w:val="007C53FB"/>
    <w:rsid w:val="007D0148"/>
    <w:rsid w:val="007D25A9"/>
    <w:rsid w:val="007D7CD4"/>
    <w:rsid w:val="007E1B82"/>
    <w:rsid w:val="007E4192"/>
    <w:rsid w:val="00827913"/>
    <w:rsid w:val="0083204F"/>
    <w:rsid w:val="00843D22"/>
    <w:rsid w:val="00853001"/>
    <w:rsid w:val="00862912"/>
    <w:rsid w:val="0086630E"/>
    <w:rsid w:val="008676B0"/>
    <w:rsid w:val="00867F2B"/>
    <w:rsid w:val="008A356C"/>
    <w:rsid w:val="008A48ED"/>
    <w:rsid w:val="008B561C"/>
    <w:rsid w:val="008B7B2A"/>
    <w:rsid w:val="008D41A9"/>
    <w:rsid w:val="008E214E"/>
    <w:rsid w:val="00952450"/>
    <w:rsid w:val="00955A87"/>
    <w:rsid w:val="0097252F"/>
    <w:rsid w:val="00992280"/>
    <w:rsid w:val="0099625D"/>
    <w:rsid w:val="009A7E8F"/>
    <w:rsid w:val="009D489D"/>
    <w:rsid w:val="009E4041"/>
    <w:rsid w:val="009F2664"/>
    <w:rsid w:val="009F36E0"/>
    <w:rsid w:val="00A04A0E"/>
    <w:rsid w:val="00A1528A"/>
    <w:rsid w:val="00A541CE"/>
    <w:rsid w:val="00A60965"/>
    <w:rsid w:val="00A662F3"/>
    <w:rsid w:val="00A87582"/>
    <w:rsid w:val="00A9266B"/>
    <w:rsid w:val="00A93102"/>
    <w:rsid w:val="00AA74C4"/>
    <w:rsid w:val="00AB39BB"/>
    <w:rsid w:val="00AC74D0"/>
    <w:rsid w:val="00AD3569"/>
    <w:rsid w:val="00AE01F8"/>
    <w:rsid w:val="00AE1DBE"/>
    <w:rsid w:val="00B009F4"/>
    <w:rsid w:val="00B150E6"/>
    <w:rsid w:val="00B178B4"/>
    <w:rsid w:val="00B60583"/>
    <w:rsid w:val="00B7514E"/>
    <w:rsid w:val="00B76126"/>
    <w:rsid w:val="00B8741F"/>
    <w:rsid w:val="00BB40FE"/>
    <w:rsid w:val="00BB6337"/>
    <w:rsid w:val="00BB6606"/>
    <w:rsid w:val="00BD62B3"/>
    <w:rsid w:val="00BD6A6A"/>
    <w:rsid w:val="00BD7FAB"/>
    <w:rsid w:val="00BE4FD3"/>
    <w:rsid w:val="00BF66CC"/>
    <w:rsid w:val="00C2416F"/>
    <w:rsid w:val="00C3068D"/>
    <w:rsid w:val="00C33028"/>
    <w:rsid w:val="00C37A2D"/>
    <w:rsid w:val="00C4540B"/>
    <w:rsid w:val="00C508F6"/>
    <w:rsid w:val="00C533D9"/>
    <w:rsid w:val="00C53EEA"/>
    <w:rsid w:val="00C5745C"/>
    <w:rsid w:val="00C64736"/>
    <w:rsid w:val="00C82842"/>
    <w:rsid w:val="00CB40BE"/>
    <w:rsid w:val="00CB7DE4"/>
    <w:rsid w:val="00CC0826"/>
    <w:rsid w:val="00CC1D7A"/>
    <w:rsid w:val="00D00485"/>
    <w:rsid w:val="00D02BCE"/>
    <w:rsid w:val="00D0518B"/>
    <w:rsid w:val="00D14338"/>
    <w:rsid w:val="00D1587D"/>
    <w:rsid w:val="00D25DCF"/>
    <w:rsid w:val="00D314A0"/>
    <w:rsid w:val="00D540E0"/>
    <w:rsid w:val="00D567D6"/>
    <w:rsid w:val="00D75176"/>
    <w:rsid w:val="00D807C8"/>
    <w:rsid w:val="00DA19FF"/>
    <w:rsid w:val="00DA3B41"/>
    <w:rsid w:val="00DA6804"/>
    <w:rsid w:val="00DE7372"/>
    <w:rsid w:val="00E018A0"/>
    <w:rsid w:val="00E0338F"/>
    <w:rsid w:val="00E159D4"/>
    <w:rsid w:val="00E17051"/>
    <w:rsid w:val="00E32F66"/>
    <w:rsid w:val="00E37DD1"/>
    <w:rsid w:val="00E6082D"/>
    <w:rsid w:val="00E64B42"/>
    <w:rsid w:val="00E80FCE"/>
    <w:rsid w:val="00E86B6B"/>
    <w:rsid w:val="00E92784"/>
    <w:rsid w:val="00EA552C"/>
    <w:rsid w:val="00EB3447"/>
    <w:rsid w:val="00EC5032"/>
    <w:rsid w:val="00EE506A"/>
    <w:rsid w:val="00EF0455"/>
    <w:rsid w:val="00F03D4D"/>
    <w:rsid w:val="00F136C2"/>
    <w:rsid w:val="00F14AF9"/>
    <w:rsid w:val="00F1795D"/>
    <w:rsid w:val="00F350CF"/>
    <w:rsid w:val="00F36CAC"/>
    <w:rsid w:val="00F57328"/>
    <w:rsid w:val="00F7593F"/>
    <w:rsid w:val="00F87D10"/>
    <w:rsid w:val="00FB1A62"/>
    <w:rsid w:val="00FB423F"/>
    <w:rsid w:val="00FC2F92"/>
    <w:rsid w:val="00FC3F30"/>
    <w:rsid w:val="00FC444A"/>
    <w:rsid w:val="00FE27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328"/>
    <w:pPr>
      <w:ind w:left="720"/>
      <w:contextualSpacing/>
    </w:pPr>
  </w:style>
  <w:style w:type="paragraph" w:styleId="a4">
    <w:name w:val="Balloon Text"/>
    <w:basedOn w:val="a"/>
    <w:link w:val="Char"/>
    <w:uiPriority w:val="99"/>
    <w:semiHidden/>
    <w:unhideWhenUsed/>
    <w:rsid w:val="0004735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47353"/>
    <w:rPr>
      <w:rFonts w:ascii="Segoe UI" w:hAnsi="Segoe UI" w:cs="Segoe UI"/>
      <w:sz w:val="18"/>
      <w:szCs w:val="18"/>
    </w:rPr>
  </w:style>
  <w:style w:type="character" w:customStyle="1" w:styleId="A00">
    <w:name w:val="A0"/>
    <w:uiPriority w:val="99"/>
    <w:rsid w:val="00FB1A62"/>
    <w:rPr>
      <w:rFonts w:cs="Quicksand"/>
      <w:color w:val="000000"/>
      <w:sz w:val="20"/>
      <w:szCs w:val="20"/>
    </w:rPr>
  </w:style>
  <w:style w:type="character" w:styleId="-">
    <w:name w:val="Hyperlink"/>
    <w:basedOn w:val="a0"/>
    <w:uiPriority w:val="99"/>
    <w:unhideWhenUsed/>
    <w:rsid w:val="00FB1A62"/>
    <w:rPr>
      <w:b w:val="0"/>
      <w:bCs w:val="0"/>
      <w:color w:val="000000"/>
      <w:u w:val="single"/>
    </w:rPr>
  </w:style>
  <w:style w:type="paragraph" w:customStyle="1" w:styleId="Default">
    <w:name w:val="Default"/>
    <w:rsid w:val="00FB1A62"/>
    <w:pPr>
      <w:autoSpaceDE w:val="0"/>
      <w:autoSpaceDN w:val="0"/>
      <w:adjustRightInd w:val="0"/>
      <w:spacing w:after="0" w:line="240" w:lineRule="auto"/>
    </w:pPr>
    <w:rPr>
      <w:rFonts w:ascii="Quicksand" w:hAnsi="Quicksand" w:cs="Quicksand"/>
      <w:color w:val="000000"/>
      <w:sz w:val="24"/>
      <w:szCs w:val="24"/>
      <w:lang w:val="en-US"/>
    </w:rPr>
  </w:style>
  <w:style w:type="paragraph" w:styleId="a5">
    <w:name w:val="footer"/>
    <w:basedOn w:val="a"/>
    <w:link w:val="Char0"/>
    <w:uiPriority w:val="99"/>
    <w:unhideWhenUsed/>
    <w:rsid w:val="00FB1A62"/>
    <w:pPr>
      <w:tabs>
        <w:tab w:val="center" w:pos="4320"/>
        <w:tab w:val="right" w:pos="8640"/>
      </w:tabs>
      <w:spacing w:after="0" w:line="240" w:lineRule="auto"/>
    </w:pPr>
  </w:style>
  <w:style w:type="character" w:customStyle="1" w:styleId="Char0">
    <w:name w:val="Υποσέλιδο Char"/>
    <w:basedOn w:val="a0"/>
    <w:link w:val="a5"/>
    <w:uiPriority w:val="99"/>
    <w:rsid w:val="00FB1A62"/>
  </w:style>
  <w:style w:type="paragraph" w:styleId="a6">
    <w:name w:val="footnote text"/>
    <w:basedOn w:val="a"/>
    <w:link w:val="Char1"/>
    <w:uiPriority w:val="99"/>
    <w:semiHidden/>
    <w:unhideWhenUsed/>
    <w:rsid w:val="00FB1A62"/>
    <w:pPr>
      <w:spacing w:after="0" w:line="240" w:lineRule="auto"/>
    </w:pPr>
    <w:rPr>
      <w:sz w:val="20"/>
      <w:szCs w:val="20"/>
    </w:rPr>
  </w:style>
  <w:style w:type="character" w:customStyle="1" w:styleId="Char1">
    <w:name w:val="Κείμενο υποσημείωσης Char"/>
    <w:basedOn w:val="a0"/>
    <w:link w:val="a6"/>
    <w:uiPriority w:val="99"/>
    <w:semiHidden/>
    <w:rsid w:val="00FB1A62"/>
    <w:rPr>
      <w:sz w:val="20"/>
      <w:szCs w:val="20"/>
    </w:rPr>
  </w:style>
  <w:style w:type="character" w:styleId="a7">
    <w:name w:val="footnote reference"/>
    <w:basedOn w:val="a0"/>
    <w:uiPriority w:val="99"/>
    <w:semiHidden/>
    <w:unhideWhenUsed/>
    <w:rsid w:val="00FB1A62"/>
    <w:rPr>
      <w:vertAlign w:val="superscript"/>
    </w:rPr>
  </w:style>
  <w:style w:type="paragraph" w:styleId="a8">
    <w:name w:val="header"/>
    <w:basedOn w:val="a"/>
    <w:link w:val="Char2"/>
    <w:uiPriority w:val="99"/>
    <w:unhideWhenUsed/>
    <w:rsid w:val="00FE2757"/>
    <w:pPr>
      <w:tabs>
        <w:tab w:val="center" w:pos="4320"/>
        <w:tab w:val="right" w:pos="8640"/>
      </w:tabs>
      <w:spacing w:after="0" w:line="240" w:lineRule="auto"/>
    </w:pPr>
  </w:style>
  <w:style w:type="character" w:customStyle="1" w:styleId="Char2">
    <w:name w:val="Κεφαλίδα Char"/>
    <w:basedOn w:val="a0"/>
    <w:link w:val="a8"/>
    <w:uiPriority w:val="99"/>
    <w:rsid w:val="00FE2757"/>
  </w:style>
  <w:style w:type="character" w:styleId="a9">
    <w:name w:val="Strong"/>
    <w:basedOn w:val="a0"/>
    <w:uiPriority w:val="22"/>
    <w:qFormat/>
    <w:rsid w:val="00D00485"/>
    <w:rPr>
      <w:b/>
      <w:bCs/>
    </w:rPr>
  </w:style>
</w:styles>
</file>

<file path=word/webSettings.xml><?xml version="1.0" encoding="utf-8"?>
<w:webSettings xmlns:r="http://schemas.openxmlformats.org/officeDocument/2006/relationships" xmlns:w="http://schemas.openxmlformats.org/wordprocessingml/2006/main">
  <w:divs>
    <w:div w:id="892741682">
      <w:bodyDiv w:val="1"/>
      <w:marLeft w:val="0"/>
      <w:marRight w:val="0"/>
      <w:marTop w:val="0"/>
      <w:marBottom w:val="0"/>
      <w:divBdr>
        <w:top w:val="none" w:sz="0" w:space="0" w:color="auto"/>
        <w:left w:val="none" w:sz="0" w:space="0" w:color="auto"/>
        <w:bottom w:val="none" w:sz="0" w:space="0" w:color="auto"/>
        <w:right w:val="none" w:sz="0" w:space="0" w:color="auto"/>
      </w:divBdr>
    </w:div>
    <w:div w:id="18753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73C-C936-4B49-90D9-71BEBA8C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Loidorikis Efstathios</dc:creator>
  <cp:lastModifiedBy>user</cp:lastModifiedBy>
  <cp:revision>2</cp:revision>
  <cp:lastPrinted>2017-11-23T10:17:00Z</cp:lastPrinted>
  <dcterms:created xsi:type="dcterms:W3CDTF">2017-11-23T13:16:00Z</dcterms:created>
  <dcterms:modified xsi:type="dcterms:W3CDTF">2017-11-23T13:16:00Z</dcterms:modified>
</cp:coreProperties>
</file>