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57" w:rsidRPr="00B704BA" w:rsidRDefault="001B4D57" w:rsidP="001B4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eastAsia="el-GR"/>
        </w:rPr>
      </w:pPr>
      <w:r w:rsidRPr="00B704BA">
        <w:rPr>
          <w:rFonts w:ascii="Arial" w:eastAsia="Calibri" w:hAnsi="Arial" w:cs="Calibri"/>
          <w:noProof/>
          <w:color w:val="000000"/>
          <w:sz w:val="28"/>
          <w:szCs w:val="28"/>
          <w:u w:color="000000"/>
          <w:bdr w:val="nil"/>
          <w:lang w:eastAsia="el-GR"/>
        </w:rPr>
        <w:drawing>
          <wp:inline distT="0" distB="0" distL="0" distR="0">
            <wp:extent cx="9525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57" w:rsidRPr="00B704BA" w:rsidRDefault="001B4D57" w:rsidP="001B4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eastAsia="el-GR"/>
        </w:rPr>
      </w:pPr>
      <w:r w:rsidRPr="00B704BA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eastAsia="el-GR"/>
        </w:rPr>
        <w:t>Δελτίο Τύπου</w:t>
      </w:r>
    </w:p>
    <w:p w:rsidR="001B4D57" w:rsidRPr="00B704BA" w:rsidRDefault="001B4D57" w:rsidP="001B4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l-GR"/>
        </w:rPr>
      </w:pPr>
      <w:r w:rsidRPr="00B704B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l-GR"/>
        </w:rPr>
        <w:t>Μαρούσι,</w:t>
      </w: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l-GR"/>
        </w:rPr>
        <w:t xml:space="preserve"> 09</w:t>
      </w:r>
      <w:r w:rsidRPr="00B704B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l-GR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l-GR"/>
        </w:rPr>
        <w:t>11</w:t>
      </w:r>
      <w:r w:rsidRPr="00B704B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l-GR"/>
        </w:rPr>
        <w:t>/2017</w:t>
      </w:r>
    </w:p>
    <w:p w:rsidR="001B4D57" w:rsidRDefault="001B4D57" w:rsidP="001B4D57">
      <w:pPr>
        <w:spacing w:after="0"/>
        <w:jc w:val="center"/>
        <w:rPr>
          <w:b/>
          <w:sz w:val="24"/>
          <w:szCs w:val="24"/>
          <w:u w:val="single"/>
        </w:rPr>
      </w:pPr>
      <w:r w:rsidRPr="001B4D57">
        <w:rPr>
          <w:b/>
          <w:sz w:val="24"/>
          <w:szCs w:val="24"/>
          <w:u w:val="single"/>
        </w:rPr>
        <w:t xml:space="preserve">Δήλωση Ευστάθιου Ν. </w:t>
      </w:r>
      <w:proofErr w:type="spellStart"/>
      <w:r w:rsidRPr="001B4D57">
        <w:rPr>
          <w:b/>
          <w:sz w:val="24"/>
          <w:szCs w:val="24"/>
          <w:u w:val="single"/>
        </w:rPr>
        <w:t>Τσοτσορού</w:t>
      </w:r>
      <w:proofErr w:type="spellEnd"/>
      <w:r w:rsidRPr="001B4D57">
        <w:rPr>
          <w:b/>
          <w:sz w:val="24"/>
          <w:szCs w:val="24"/>
          <w:u w:val="single"/>
        </w:rPr>
        <w:t>, Εκτελεστικού Προέδρου του Ομίλου ΕΛ</w:t>
      </w:r>
      <w:r>
        <w:rPr>
          <w:b/>
          <w:sz w:val="24"/>
          <w:szCs w:val="24"/>
          <w:u w:val="single"/>
        </w:rPr>
        <w:t>ΠΕ</w:t>
      </w:r>
    </w:p>
    <w:p w:rsidR="001B4D57" w:rsidRDefault="001B4D57" w:rsidP="001B4D57">
      <w:pPr>
        <w:spacing w:after="0"/>
        <w:jc w:val="center"/>
        <w:rPr>
          <w:b/>
          <w:sz w:val="24"/>
          <w:szCs w:val="24"/>
          <w:u w:val="single"/>
        </w:rPr>
      </w:pPr>
      <w:r w:rsidRPr="001B4D57">
        <w:rPr>
          <w:b/>
          <w:sz w:val="24"/>
          <w:szCs w:val="24"/>
          <w:u w:val="single"/>
        </w:rPr>
        <w:t xml:space="preserve"> για τα </w:t>
      </w:r>
      <w:r w:rsidR="002F13F8">
        <w:rPr>
          <w:b/>
          <w:sz w:val="24"/>
          <w:szCs w:val="24"/>
          <w:u w:val="single"/>
        </w:rPr>
        <w:t>Α</w:t>
      </w:r>
      <w:r w:rsidRPr="001B4D57">
        <w:rPr>
          <w:b/>
          <w:sz w:val="24"/>
          <w:szCs w:val="24"/>
          <w:u w:val="single"/>
        </w:rPr>
        <w:t xml:space="preserve">ποτελέσματα Γ’ Τριμήνου / </w:t>
      </w:r>
      <w:proofErr w:type="spellStart"/>
      <w:r w:rsidRPr="001B4D57">
        <w:rPr>
          <w:b/>
          <w:sz w:val="24"/>
          <w:szCs w:val="24"/>
          <w:u w:val="single"/>
        </w:rPr>
        <w:t>Εννεαμήνου</w:t>
      </w:r>
      <w:proofErr w:type="spellEnd"/>
      <w:r w:rsidRPr="001B4D57">
        <w:rPr>
          <w:b/>
          <w:sz w:val="24"/>
          <w:szCs w:val="24"/>
          <w:u w:val="single"/>
        </w:rPr>
        <w:t xml:space="preserve"> 2017</w:t>
      </w:r>
    </w:p>
    <w:p w:rsidR="001B4D57" w:rsidRPr="00794A38" w:rsidRDefault="001B4D57" w:rsidP="001B4D57">
      <w:pPr>
        <w:spacing w:after="0"/>
        <w:jc w:val="center"/>
        <w:rPr>
          <w:b/>
          <w:sz w:val="24"/>
          <w:szCs w:val="24"/>
          <w:u w:val="single"/>
        </w:rPr>
      </w:pPr>
    </w:p>
    <w:p w:rsidR="001B4D57" w:rsidRPr="00115892" w:rsidRDefault="004C29B6" w:rsidP="001B4D5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1B4D57" w:rsidRPr="00115892">
        <w:rPr>
          <w:i/>
          <w:sz w:val="24"/>
          <w:szCs w:val="24"/>
        </w:rPr>
        <w:t xml:space="preserve">Τα θετικά αποτελέσματα Γ΄ </w:t>
      </w:r>
      <w:r w:rsidR="001B4D57">
        <w:rPr>
          <w:i/>
          <w:sz w:val="24"/>
          <w:szCs w:val="24"/>
        </w:rPr>
        <w:t>Τ</w:t>
      </w:r>
      <w:r w:rsidR="001B4D57" w:rsidRPr="00115892">
        <w:rPr>
          <w:i/>
          <w:sz w:val="24"/>
          <w:szCs w:val="24"/>
        </w:rPr>
        <w:t xml:space="preserve">ριμήνου σε συνδυασμό με το ρεκόρ παραγωγής </w:t>
      </w:r>
      <w:r w:rsidR="001B4D57" w:rsidRPr="00FE41A9">
        <w:rPr>
          <w:i/>
          <w:sz w:val="24"/>
          <w:szCs w:val="24"/>
        </w:rPr>
        <w:t xml:space="preserve">11,13 </w:t>
      </w:r>
      <w:r w:rsidR="001B4D57">
        <w:rPr>
          <w:i/>
          <w:sz w:val="24"/>
          <w:szCs w:val="24"/>
        </w:rPr>
        <w:t xml:space="preserve">εκατ. Μ.Τ. </w:t>
      </w:r>
      <w:r w:rsidR="001B4D57" w:rsidRPr="00115892">
        <w:rPr>
          <w:i/>
          <w:sz w:val="24"/>
          <w:szCs w:val="24"/>
        </w:rPr>
        <w:t xml:space="preserve">και όγκου πωλήσεων </w:t>
      </w:r>
      <w:r w:rsidR="001B4D57">
        <w:rPr>
          <w:i/>
          <w:sz w:val="24"/>
          <w:szCs w:val="24"/>
        </w:rPr>
        <w:t xml:space="preserve">12,1 εκατ. Μ.Τ. </w:t>
      </w:r>
      <w:r w:rsidR="001B4D57" w:rsidRPr="00115892">
        <w:rPr>
          <w:i/>
          <w:sz w:val="24"/>
          <w:szCs w:val="24"/>
        </w:rPr>
        <w:t xml:space="preserve">για το εννεάμηνο, οδήγησαν σε ιστορικό υψηλό κερδοφορίας και ταμειακών ροών </w:t>
      </w:r>
      <w:proofErr w:type="spellStart"/>
      <w:r w:rsidR="001B4D57" w:rsidRPr="00115892">
        <w:rPr>
          <w:i/>
          <w:sz w:val="24"/>
          <w:szCs w:val="24"/>
        </w:rPr>
        <w:t>εννεαμήνου</w:t>
      </w:r>
      <w:proofErr w:type="spellEnd"/>
      <w:r w:rsidR="001B4D57" w:rsidRPr="00115892">
        <w:rPr>
          <w:i/>
          <w:sz w:val="24"/>
          <w:szCs w:val="24"/>
        </w:rPr>
        <w:t>, αποτυπώνοντας με σαφήνεια την προσήλωσή μας στην υλοποίηση των στόχων του στρατηγικού σχεδιασμού 2015-2017, για σταθεροποίηση της υψηλής κερδοφορίας του Ομίλου, ενίσχυση της ανταγωνιστικότητας, χρηματοοικονομική εξυγίανση, εξωστρέφεια, αλλά και περαιτέρω ενίσχυση της θέσης του στην εγχώρια αγορά.</w:t>
      </w:r>
    </w:p>
    <w:p w:rsidR="001B4D57" w:rsidRPr="00115892" w:rsidRDefault="001B4D57" w:rsidP="001B4D57">
      <w:pPr>
        <w:jc w:val="both"/>
        <w:rPr>
          <w:i/>
          <w:sz w:val="24"/>
          <w:szCs w:val="24"/>
        </w:rPr>
      </w:pPr>
      <w:r w:rsidRPr="00115892">
        <w:rPr>
          <w:i/>
          <w:sz w:val="24"/>
          <w:szCs w:val="24"/>
        </w:rPr>
        <w:t xml:space="preserve">Τα συγκρίσιμα καθαρά κέρδη </w:t>
      </w:r>
      <w:proofErr w:type="spellStart"/>
      <w:r w:rsidRPr="00115892">
        <w:rPr>
          <w:i/>
          <w:sz w:val="24"/>
          <w:szCs w:val="24"/>
        </w:rPr>
        <w:t>εν</w:t>
      </w:r>
      <w:r>
        <w:rPr>
          <w:i/>
          <w:sz w:val="24"/>
          <w:szCs w:val="24"/>
        </w:rPr>
        <w:t>νεαμήνου</w:t>
      </w:r>
      <w:proofErr w:type="spellEnd"/>
      <w:r>
        <w:rPr>
          <w:i/>
          <w:sz w:val="24"/>
          <w:szCs w:val="24"/>
        </w:rPr>
        <w:t xml:space="preserve"> διαμορφώθηκαν στα €313 εκατ. </w:t>
      </w:r>
      <w:r w:rsidRPr="00115892">
        <w:rPr>
          <w:i/>
          <w:sz w:val="24"/>
          <w:szCs w:val="24"/>
        </w:rPr>
        <w:t xml:space="preserve">καταγράφοντας άνοδο 71% σε σχέση με πέρυσι, ενώ τα συγκρίσιμα κέρδη </w:t>
      </w:r>
      <w:r w:rsidRPr="00115892">
        <w:rPr>
          <w:i/>
          <w:sz w:val="24"/>
          <w:szCs w:val="24"/>
          <w:lang w:val="en-US"/>
        </w:rPr>
        <w:t>EBITDA</w:t>
      </w:r>
      <w:r w:rsidRPr="00115892">
        <w:rPr>
          <w:i/>
          <w:sz w:val="24"/>
          <w:szCs w:val="24"/>
        </w:rPr>
        <w:t xml:space="preserve"> έφτασαν στα €663 εκατ., αυξημένα κατά 28% συγκριτικά με το 2016, μεγέθη που αποτελούν ιστορικό υψηλό. Σημαντική επίσης ήταν και στο Γ’ Τρίμηνο του 2017 η μείωση του χρηματοοικονομικού κόστους σε ποσοστό 22%, ενώ ο συνολικός καθαρός δανεισμός του Ομίλου διατηρήθηκε σταθερός και η δανειακή μόχλευση μειώθηκε</w:t>
      </w:r>
      <w:r w:rsidRPr="007172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περαιτέρω.</w:t>
      </w:r>
      <w:r w:rsidRPr="00115892">
        <w:rPr>
          <w:i/>
          <w:sz w:val="24"/>
          <w:szCs w:val="24"/>
        </w:rPr>
        <w:t xml:space="preserve"> Παράλληλα, ξεκινήσαμε ήδη τη διαδικασία για την αναχρηματοδότηση των υφιστάμενων τραπεζικών δανειακών συμβάσεων λήξεως 2018, μια εξέλιξη που θα επιφέρει επιπλέον θετικές επιπτώσεις στο μέσο κόστος επιτοκίου δανεισμού του Ομίλου.</w:t>
      </w:r>
    </w:p>
    <w:p w:rsidR="001B4D57" w:rsidRPr="00115892" w:rsidRDefault="001B4D57" w:rsidP="001B4D57">
      <w:pPr>
        <w:jc w:val="both"/>
        <w:rPr>
          <w:i/>
          <w:sz w:val="24"/>
          <w:szCs w:val="24"/>
        </w:rPr>
      </w:pPr>
      <w:r w:rsidRPr="00115892">
        <w:rPr>
          <w:i/>
          <w:sz w:val="24"/>
          <w:szCs w:val="24"/>
        </w:rPr>
        <w:t>Μέσω της διαρκούς προσπάθειας για τη βελτίωση των συνθηκών παραγωγική</w:t>
      </w:r>
      <w:r>
        <w:rPr>
          <w:i/>
          <w:sz w:val="24"/>
          <w:szCs w:val="24"/>
        </w:rPr>
        <w:t>ς</w:t>
      </w:r>
      <w:r w:rsidRPr="00115892">
        <w:rPr>
          <w:i/>
          <w:sz w:val="24"/>
          <w:szCs w:val="24"/>
        </w:rPr>
        <w:t xml:space="preserve"> εκμετάλλευσης και</w:t>
      </w:r>
      <w:r>
        <w:rPr>
          <w:i/>
          <w:sz w:val="24"/>
          <w:szCs w:val="24"/>
        </w:rPr>
        <w:t>,</w:t>
      </w:r>
      <w:r w:rsidRPr="00115892">
        <w:rPr>
          <w:i/>
          <w:sz w:val="24"/>
          <w:szCs w:val="24"/>
        </w:rPr>
        <w:t xml:space="preserve"> ταυτόχρονα</w:t>
      </w:r>
      <w:r>
        <w:rPr>
          <w:i/>
          <w:sz w:val="24"/>
          <w:szCs w:val="24"/>
        </w:rPr>
        <w:t>,</w:t>
      </w:r>
      <w:r w:rsidRPr="00115892">
        <w:rPr>
          <w:i/>
          <w:sz w:val="24"/>
          <w:szCs w:val="24"/>
        </w:rPr>
        <w:t xml:space="preserve"> επενδύοντας σταθερά στους τομείς της Ασφάλειας και της Υγείας του προσωπικού, ενισχύοντας την τεχνογνωσία</w:t>
      </w:r>
      <w:r>
        <w:rPr>
          <w:i/>
          <w:sz w:val="24"/>
          <w:szCs w:val="24"/>
        </w:rPr>
        <w:t>,</w:t>
      </w:r>
      <w:r w:rsidRPr="00115892">
        <w:rPr>
          <w:i/>
          <w:sz w:val="24"/>
          <w:szCs w:val="24"/>
        </w:rPr>
        <w:t xml:space="preserve"> αλλά και διατηρώντας τις υψηλότερες προδιαγραφές σε τεχνολογικό επίπεδο,</w:t>
      </w:r>
      <w:r>
        <w:rPr>
          <w:i/>
          <w:sz w:val="24"/>
          <w:szCs w:val="24"/>
        </w:rPr>
        <w:t xml:space="preserve"> ενισχύθηκε η</w:t>
      </w:r>
      <w:r w:rsidRPr="00115892">
        <w:rPr>
          <w:i/>
          <w:sz w:val="24"/>
          <w:szCs w:val="24"/>
        </w:rPr>
        <w:t xml:space="preserve"> ανταγωνιστικότητα των διυλιστηρίων μας. Δημιουργήθηκε έτσι, το κατάλληλο πλαίσιο για να καταγρ</w:t>
      </w:r>
      <w:r>
        <w:rPr>
          <w:i/>
          <w:sz w:val="24"/>
          <w:szCs w:val="24"/>
        </w:rPr>
        <w:t>αφεί νέο ρεκόρ παραγωγής στους 11,13 εκατ. Μ.Τ.</w:t>
      </w:r>
      <w:r w:rsidRPr="00115892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παρά τη</w:t>
      </w:r>
      <w:r w:rsidRPr="00115892">
        <w:rPr>
          <w:i/>
          <w:sz w:val="24"/>
          <w:szCs w:val="24"/>
        </w:rPr>
        <w:t xml:space="preserve"> διακοπή λειτουργίας του διυλιστηρίου της Ελευσίνας, επί ενάμιση μήνα, για την πραγματοποίηση των αναγκαίων εργασιών αποκατάστασης και αναβάθμισης</w:t>
      </w:r>
      <w:r>
        <w:rPr>
          <w:i/>
          <w:sz w:val="24"/>
          <w:szCs w:val="24"/>
        </w:rPr>
        <w:t>.</w:t>
      </w:r>
    </w:p>
    <w:p w:rsidR="001B4D57" w:rsidRPr="00115892" w:rsidRDefault="001B4D57" w:rsidP="001B4D57">
      <w:pPr>
        <w:jc w:val="both"/>
        <w:rPr>
          <w:i/>
          <w:sz w:val="24"/>
          <w:szCs w:val="24"/>
        </w:rPr>
      </w:pPr>
      <w:r w:rsidRPr="00115892">
        <w:rPr>
          <w:i/>
          <w:sz w:val="24"/>
          <w:szCs w:val="24"/>
        </w:rPr>
        <w:t>Οι διεθνείς συμφωνίες και οι ακολουθούμενες πολιτικές προμήθειας αργού, η πλήρης εκμετάλλευση και αριστοποίηση της παραγωγής, τα υψηλά διεθνή περιθώρια, η ενίσχυση της θέσης της Εμπορίας στην εγχώρια αγορά, ο εξωστρεφής προσανατολισμός και οι εμπορικές συνεργασίες που συνάπτουμε</w:t>
      </w:r>
      <w:r>
        <w:rPr>
          <w:i/>
          <w:sz w:val="24"/>
          <w:szCs w:val="24"/>
        </w:rPr>
        <w:t xml:space="preserve"> οδήγησαν σε αυξημένες πωλήσεις </w:t>
      </w:r>
      <w:proofErr w:type="spellStart"/>
      <w:r>
        <w:rPr>
          <w:i/>
          <w:sz w:val="24"/>
          <w:szCs w:val="24"/>
        </w:rPr>
        <w:t>εννεαμήνου</w:t>
      </w:r>
      <w:proofErr w:type="spellEnd"/>
      <w:r w:rsidRPr="00115892">
        <w:rPr>
          <w:i/>
          <w:sz w:val="24"/>
          <w:szCs w:val="24"/>
        </w:rPr>
        <w:t xml:space="preserve">, βελτίωσαν περαιτέρω την χρηματοοικονομική θέση του Ομίλου, ενισχύοντας και σταθεροποιώντας την αυξητική τάση των </w:t>
      </w:r>
      <w:r w:rsidRPr="00115892">
        <w:rPr>
          <w:i/>
          <w:sz w:val="24"/>
          <w:szCs w:val="24"/>
        </w:rPr>
        <w:lastRenderedPageBreak/>
        <w:t>ταμειακών ροών, διαμορφώνοντας ιδιαίτερα θετικές προοπτικές</w:t>
      </w:r>
      <w:r>
        <w:rPr>
          <w:i/>
          <w:sz w:val="24"/>
          <w:szCs w:val="24"/>
        </w:rPr>
        <w:t xml:space="preserve"> έτους, γεγονός που επιβεβαιώνεται από την </w:t>
      </w:r>
      <w:r w:rsidRPr="00115892">
        <w:rPr>
          <w:i/>
          <w:sz w:val="24"/>
          <w:szCs w:val="24"/>
        </w:rPr>
        <w:t>απόφαση του Διοικητικού Συμβουλίου για διανομή προμερίσματος €0,15 ανά μετοχή</w:t>
      </w:r>
      <w:r>
        <w:rPr>
          <w:i/>
          <w:sz w:val="24"/>
          <w:szCs w:val="24"/>
        </w:rPr>
        <w:t xml:space="preserve"> για το 2017</w:t>
      </w:r>
      <w:r w:rsidRPr="00115892">
        <w:rPr>
          <w:i/>
          <w:sz w:val="24"/>
          <w:szCs w:val="24"/>
        </w:rPr>
        <w:t>.</w:t>
      </w:r>
    </w:p>
    <w:p w:rsidR="001B4D57" w:rsidRPr="00115892" w:rsidRDefault="001B4D57" w:rsidP="001B4D57">
      <w:pPr>
        <w:jc w:val="both"/>
        <w:rPr>
          <w:i/>
          <w:sz w:val="24"/>
          <w:szCs w:val="24"/>
        </w:rPr>
      </w:pPr>
      <w:r w:rsidRPr="00115892">
        <w:rPr>
          <w:i/>
          <w:sz w:val="24"/>
          <w:szCs w:val="24"/>
        </w:rPr>
        <w:t xml:space="preserve">Στο πλαίσιο του πενταετούς προγράμματος 2017-2021 και των στόχων ενεργειακού και ψηφιακού μετασχηματισμού και της συμβολής </w:t>
      </w:r>
      <w:r>
        <w:rPr>
          <w:i/>
          <w:sz w:val="24"/>
          <w:szCs w:val="24"/>
        </w:rPr>
        <w:t xml:space="preserve">μας </w:t>
      </w:r>
      <w:r w:rsidRPr="00115892">
        <w:rPr>
          <w:i/>
          <w:sz w:val="24"/>
          <w:szCs w:val="24"/>
        </w:rPr>
        <w:t>στην ενίσχυση της ενεργειακής ασφάλειας, ο Όμιλος δρομολόγησε την σταδιακή ψηφιοποίηση διαδικασιών και λειτουργίας, την περαιτέρω βελτίωση της ενεργειακής απόδοσης και των παρεμβάσεων εξοικονόμησης ενέργειας. Επανασ</w:t>
      </w:r>
      <w:r>
        <w:rPr>
          <w:i/>
          <w:sz w:val="24"/>
          <w:szCs w:val="24"/>
        </w:rPr>
        <w:t>χεδιάζει</w:t>
      </w:r>
      <w:r w:rsidRPr="0011589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επίσης </w:t>
      </w:r>
      <w:r w:rsidRPr="00115892">
        <w:rPr>
          <w:i/>
          <w:sz w:val="24"/>
          <w:szCs w:val="24"/>
        </w:rPr>
        <w:t xml:space="preserve">τη </w:t>
      </w:r>
      <w:r>
        <w:rPr>
          <w:i/>
          <w:sz w:val="24"/>
          <w:szCs w:val="24"/>
        </w:rPr>
        <w:t>θέση του στο Φυσικό Α</w:t>
      </w:r>
      <w:r w:rsidRPr="00115892">
        <w:rPr>
          <w:i/>
          <w:sz w:val="24"/>
          <w:szCs w:val="24"/>
        </w:rPr>
        <w:t>έριο και τον Ηλεκτρισμό και αυξάνει σταθερά το χαρτοφυλάκιό του σε έργα ΑΠΕ,</w:t>
      </w:r>
      <w:r>
        <w:rPr>
          <w:i/>
          <w:sz w:val="24"/>
          <w:szCs w:val="24"/>
        </w:rPr>
        <w:t xml:space="preserve"> </w:t>
      </w:r>
      <w:r w:rsidRPr="00115892">
        <w:rPr>
          <w:i/>
          <w:sz w:val="24"/>
          <w:szCs w:val="24"/>
        </w:rPr>
        <w:t>συμβάλλοντας περαιτέρω στην ενσωμάτωση των Αρχών της Βιώσιμης Ανάπτυξης στο παραγωγικό μοντέλο της χώρας.</w:t>
      </w:r>
    </w:p>
    <w:p w:rsidR="001B4D57" w:rsidRPr="00115892" w:rsidRDefault="001B4D57" w:rsidP="001B4D57">
      <w:pPr>
        <w:jc w:val="both"/>
        <w:rPr>
          <w:i/>
          <w:sz w:val="24"/>
          <w:szCs w:val="24"/>
        </w:rPr>
      </w:pPr>
      <w:r w:rsidRPr="00115892">
        <w:rPr>
          <w:i/>
          <w:sz w:val="24"/>
          <w:szCs w:val="24"/>
        </w:rPr>
        <w:t xml:space="preserve">Στις ραγδαίες ενεργειακές εξελίξεις που συντελούνται στην Ελλάδα και στις άλλες περιοχές ενδιαφέροντός του, ο Όμιλος ΕΛΠΕ δεν στέκεται παρατηρητής, αλλά </w:t>
      </w:r>
      <w:proofErr w:type="spellStart"/>
      <w:r w:rsidRPr="00115892">
        <w:rPr>
          <w:i/>
          <w:sz w:val="24"/>
          <w:szCs w:val="24"/>
        </w:rPr>
        <w:t>συνδιαμορφώνει</w:t>
      </w:r>
      <w:proofErr w:type="spellEnd"/>
      <w:r w:rsidRPr="00115892">
        <w:rPr>
          <w:i/>
          <w:sz w:val="24"/>
          <w:szCs w:val="24"/>
        </w:rPr>
        <w:t xml:space="preserve"> σε μεγάλο βαθμό αυτές τις εξελίξεις. Ο διαφαινόμενος εντοπισμός Υδρογονανθράκων στον ελλαδικό </w:t>
      </w:r>
      <w:r>
        <w:rPr>
          <w:i/>
          <w:sz w:val="24"/>
          <w:szCs w:val="24"/>
        </w:rPr>
        <w:t>χώρο είναι μια εξέλιξη, η οποία</w:t>
      </w:r>
      <w:r w:rsidRPr="00115892">
        <w:rPr>
          <w:i/>
          <w:sz w:val="24"/>
          <w:szCs w:val="24"/>
        </w:rPr>
        <w:t xml:space="preserve"> με την </w:t>
      </w:r>
      <w:r>
        <w:rPr>
          <w:i/>
          <w:sz w:val="24"/>
          <w:szCs w:val="24"/>
        </w:rPr>
        <w:t>αναμενόμενη επιβεβαίωσή της</w:t>
      </w:r>
      <w:r w:rsidRPr="00115892">
        <w:rPr>
          <w:i/>
          <w:sz w:val="24"/>
          <w:szCs w:val="24"/>
        </w:rPr>
        <w:t xml:space="preserve"> αναβαθμίζει ενεργειακά και </w:t>
      </w:r>
      <w:proofErr w:type="spellStart"/>
      <w:r w:rsidRPr="00115892">
        <w:rPr>
          <w:i/>
          <w:sz w:val="24"/>
          <w:szCs w:val="24"/>
        </w:rPr>
        <w:t>γεωστρατηγικά</w:t>
      </w:r>
      <w:proofErr w:type="spellEnd"/>
      <w:r w:rsidRPr="00115892">
        <w:rPr>
          <w:i/>
          <w:sz w:val="24"/>
          <w:szCs w:val="24"/>
        </w:rPr>
        <w:t xml:space="preserve"> τον ρόλο της χώρας. Σ</w:t>
      </w:r>
      <w:r>
        <w:rPr>
          <w:i/>
          <w:sz w:val="24"/>
          <w:szCs w:val="24"/>
        </w:rPr>
        <w:t xml:space="preserve">ε αυτό το ιδιαίτερα σημαντικό εγχείρημα τόσο για </w:t>
      </w:r>
      <w:r w:rsidRPr="00115892">
        <w:rPr>
          <w:i/>
          <w:sz w:val="24"/>
          <w:szCs w:val="24"/>
        </w:rPr>
        <w:t xml:space="preserve">τον Όμιλο </w:t>
      </w:r>
      <w:r>
        <w:rPr>
          <w:i/>
          <w:sz w:val="24"/>
          <w:szCs w:val="24"/>
        </w:rPr>
        <w:t>όσο και για το μέλλον</w:t>
      </w:r>
      <w:r w:rsidRPr="00115892">
        <w:rPr>
          <w:i/>
          <w:sz w:val="24"/>
          <w:szCs w:val="24"/>
        </w:rPr>
        <w:t xml:space="preserve"> της χώρας, η συμμετοχή εταιρειών εγνωσμένου κύρους όπως είναι η </w:t>
      </w:r>
      <w:r w:rsidRPr="00115892">
        <w:rPr>
          <w:i/>
          <w:sz w:val="24"/>
          <w:szCs w:val="24"/>
          <w:lang w:val="en-US"/>
        </w:rPr>
        <w:t>Total</w:t>
      </w:r>
      <w:r w:rsidRPr="00115892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η</w:t>
      </w:r>
      <w:r w:rsidRPr="00115892">
        <w:rPr>
          <w:i/>
          <w:sz w:val="24"/>
          <w:szCs w:val="24"/>
        </w:rPr>
        <w:t xml:space="preserve"> </w:t>
      </w:r>
      <w:r w:rsidRPr="00115892">
        <w:rPr>
          <w:i/>
          <w:sz w:val="24"/>
          <w:szCs w:val="24"/>
          <w:lang w:val="en-US"/>
        </w:rPr>
        <w:t>ExxonMobil</w:t>
      </w:r>
      <w:r w:rsidRPr="00115892">
        <w:rPr>
          <w:i/>
          <w:sz w:val="24"/>
          <w:szCs w:val="24"/>
        </w:rPr>
        <w:t xml:space="preserve"> και η </w:t>
      </w:r>
      <w:r w:rsidRPr="00115892">
        <w:rPr>
          <w:i/>
          <w:sz w:val="24"/>
          <w:szCs w:val="24"/>
          <w:lang w:val="en-US"/>
        </w:rPr>
        <w:t>Edison</w:t>
      </w:r>
      <w:r>
        <w:rPr>
          <w:i/>
          <w:sz w:val="24"/>
          <w:szCs w:val="24"/>
        </w:rPr>
        <w:t>, φέρει τη σφραγίδα του Ομίλου</w:t>
      </w:r>
      <w:r w:rsidRPr="00115892">
        <w:rPr>
          <w:i/>
          <w:sz w:val="24"/>
          <w:szCs w:val="24"/>
        </w:rPr>
        <w:t xml:space="preserve"> ΕΛΛΗΝΙΚΑ ΠΕΤΡΕΛΑΙΑ, που </w:t>
      </w:r>
      <w:r>
        <w:rPr>
          <w:i/>
          <w:sz w:val="24"/>
          <w:szCs w:val="24"/>
        </w:rPr>
        <w:t xml:space="preserve">συνεργάζεται </w:t>
      </w:r>
      <w:r w:rsidRPr="0011589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μαζί τους ως αξιόπιστος εταίρος</w:t>
      </w:r>
      <w:r w:rsidRPr="00115892">
        <w:rPr>
          <w:i/>
          <w:sz w:val="24"/>
          <w:szCs w:val="24"/>
        </w:rPr>
        <w:t>.</w:t>
      </w:r>
      <w:r w:rsidR="004C29B6">
        <w:rPr>
          <w:i/>
          <w:sz w:val="24"/>
          <w:szCs w:val="24"/>
        </w:rPr>
        <w:t>»</w:t>
      </w:r>
      <w:bookmarkStart w:id="0" w:name="_GoBack"/>
      <w:bookmarkEnd w:id="0"/>
    </w:p>
    <w:p w:rsidR="005D3830" w:rsidRDefault="005D3830"/>
    <w:sectPr w:rsidR="005D3830" w:rsidSect="00F14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D57"/>
    <w:rsid w:val="001B4D57"/>
    <w:rsid w:val="002F13F8"/>
    <w:rsid w:val="004C29B6"/>
    <w:rsid w:val="005D3830"/>
    <w:rsid w:val="008A14DF"/>
    <w:rsid w:val="00F1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Petroleum SA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Dimou Panagiotis</dc:creator>
  <cp:lastModifiedBy>Λυγερή</cp:lastModifiedBy>
  <cp:revision>2</cp:revision>
  <dcterms:created xsi:type="dcterms:W3CDTF">2017-11-09T19:41:00Z</dcterms:created>
  <dcterms:modified xsi:type="dcterms:W3CDTF">2017-11-09T19:41:00Z</dcterms:modified>
</cp:coreProperties>
</file>